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F88F" w14:textId="12E398FE" w:rsidR="00C17B5E" w:rsidRDefault="007724F3" w:rsidP="00D813A4">
      <w:pPr>
        <w:jc w:val="right"/>
        <w:rPr>
          <w:b/>
          <w:sz w:val="22"/>
          <w:szCs w:val="22"/>
        </w:rPr>
      </w:pPr>
      <w:r w:rsidRPr="00382C45">
        <w:rPr>
          <w:b/>
          <w:sz w:val="22"/>
          <w:szCs w:val="22"/>
        </w:rPr>
        <w:t>Priedas Nr. 3</w:t>
      </w:r>
    </w:p>
    <w:p w14:paraId="2353F8FB" w14:textId="221F28CB" w:rsidR="00C17B5E" w:rsidRDefault="00C17B5E" w:rsidP="00C17B5E">
      <w:pPr>
        <w:pStyle w:val="Heading1"/>
        <w:jc w:val="center"/>
        <w:rPr>
          <w:rFonts w:ascii="Times New Roman" w:hAnsi="Times New Roman" w:cs="Times New Roman"/>
          <w:b/>
          <w:bCs/>
          <w:color w:val="auto"/>
          <w:sz w:val="22"/>
          <w:szCs w:val="22"/>
        </w:rPr>
      </w:pPr>
      <w:r w:rsidRPr="00C17B5E">
        <w:rPr>
          <w:rFonts w:ascii="Times New Roman" w:hAnsi="Times New Roman" w:cs="Times New Roman"/>
          <w:b/>
          <w:bCs/>
          <w:color w:val="auto"/>
          <w:sz w:val="22"/>
          <w:szCs w:val="22"/>
        </w:rPr>
        <w:t>VšĮ  UTENOS LIGONINĖ</w:t>
      </w:r>
    </w:p>
    <w:p w14:paraId="206CC7AB" w14:textId="77777777" w:rsidR="00C17B5E" w:rsidRPr="00C17B5E" w:rsidRDefault="00C17B5E" w:rsidP="00C17B5E"/>
    <w:p w14:paraId="67837A57" w14:textId="77777777" w:rsidR="00C17B5E" w:rsidRPr="00C17B5E" w:rsidRDefault="00C17B5E" w:rsidP="00C17B5E">
      <w:pPr>
        <w:jc w:val="center"/>
        <w:rPr>
          <w:i/>
          <w:sz w:val="22"/>
          <w:szCs w:val="22"/>
        </w:rPr>
      </w:pPr>
      <w:r w:rsidRPr="00C17B5E">
        <w:rPr>
          <w:b/>
          <w:sz w:val="22"/>
          <w:szCs w:val="22"/>
        </w:rPr>
        <w:t xml:space="preserve"> PIRKIMO – PARDAVIMO SUTARTIS  (</w:t>
      </w:r>
      <w:r w:rsidRPr="00C17B5E">
        <w:rPr>
          <w:i/>
          <w:sz w:val="22"/>
          <w:szCs w:val="22"/>
        </w:rPr>
        <w:t>projektas)</w:t>
      </w:r>
    </w:p>
    <w:p w14:paraId="39F94E8C" w14:textId="77777777" w:rsidR="00C17B5E" w:rsidRPr="00C17B5E" w:rsidRDefault="00C17B5E" w:rsidP="00C17B5E">
      <w:pPr>
        <w:jc w:val="center"/>
        <w:rPr>
          <w:i/>
          <w:sz w:val="22"/>
          <w:szCs w:val="22"/>
        </w:rPr>
      </w:pPr>
    </w:p>
    <w:p w14:paraId="2C471CC3" w14:textId="77777777" w:rsidR="00C17B5E" w:rsidRPr="00C17B5E" w:rsidRDefault="00C17B5E" w:rsidP="00C17B5E">
      <w:pPr>
        <w:jc w:val="center"/>
        <w:rPr>
          <w:b/>
          <w:sz w:val="22"/>
          <w:szCs w:val="22"/>
        </w:rPr>
      </w:pPr>
      <w:r w:rsidRPr="00C17B5E">
        <w:rPr>
          <w:b/>
          <w:sz w:val="22"/>
          <w:szCs w:val="22"/>
        </w:rPr>
        <w:t>DĖL FARMACIJOS PRODUKTŲ PIRKIMO</w:t>
      </w:r>
    </w:p>
    <w:p w14:paraId="3F273EC1" w14:textId="77777777" w:rsidR="00C17B5E" w:rsidRPr="00C17B5E" w:rsidRDefault="00C17B5E" w:rsidP="00C17B5E">
      <w:pPr>
        <w:jc w:val="center"/>
        <w:rPr>
          <w:b/>
          <w:sz w:val="22"/>
          <w:szCs w:val="22"/>
        </w:rPr>
      </w:pPr>
    </w:p>
    <w:p w14:paraId="5F9F4AC0" w14:textId="07F21D32" w:rsidR="00C17B5E" w:rsidRPr="00C17B5E" w:rsidRDefault="00C17B5E" w:rsidP="00C17B5E">
      <w:pPr>
        <w:ind w:left="360"/>
        <w:jc w:val="center"/>
        <w:rPr>
          <w:sz w:val="22"/>
          <w:szCs w:val="22"/>
          <w:lang w:val="pt-BR"/>
        </w:rPr>
      </w:pPr>
      <w:r w:rsidRPr="00C17B5E">
        <w:rPr>
          <w:sz w:val="22"/>
          <w:szCs w:val="22"/>
        </w:rPr>
        <w:t>202</w:t>
      </w:r>
      <w:r w:rsidR="00D813A4">
        <w:rPr>
          <w:sz w:val="22"/>
          <w:szCs w:val="22"/>
        </w:rPr>
        <w:t>1</w:t>
      </w:r>
      <w:r w:rsidRPr="00C17B5E">
        <w:rPr>
          <w:sz w:val="22"/>
          <w:szCs w:val="22"/>
        </w:rPr>
        <w:t xml:space="preserve">  m._________</w:t>
      </w:r>
      <w:r w:rsidRPr="00C17B5E">
        <w:rPr>
          <w:sz w:val="22"/>
          <w:szCs w:val="22"/>
          <w:lang w:val="pt-BR"/>
        </w:rPr>
        <w:t xml:space="preserve">__   mėn. ___  d. Nr. </w:t>
      </w:r>
    </w:p>
    <w:p w14:paraId="7D03A361" w14:textId="77777777" w:rsidR="00C17B5E" w:rsidRPr="00C17B5E" w:rsidRDefault="00C17B5E" w:rsidP="00C17B5E">
      <w:pPr>
        <w:ind w:left="360"/>
        <w:jc w:val="center"/>
        <w:rPr>
          <w:sz w:val="22"/>
          <w:szCs w:val="22"/>
          <w:lang w:val="pt-BR"/>
        </w:rPr>
      </w:pPr>
      <w:r w:rsidRPr="00C17B5E">
        <w:rPr>
          <w:sz w:val="22"/>
          <w:szCs w:val="22"/>
          <w:lang w:val="pt-BR"/>
        </w:rPr>
        <w:t>Utena</w:t>
      </w:r>
    </w:p>
    <w:p w14:paraId="0F9FB534" w14:textId="77777777" w:rsidR="00C17B5E" w:rsidRPr="00C17B5E" w:rsidRDefault="00C17B5E" w:rsidP="00C17B5E">
      <w:pPr>
        <w:rPr>
          <w:sz w:val="22"/>
          <w:szCs w:val="22"/>
        </w:rPr>
      </w:pPr>
    </w:p>
    <w:p w14:paraId="7CF75431" w14:textId="77777777" w:rsidR="00C17B5E" w:rsidRPr="00C17B5E" w:rsidRDefault="00C17B5E" w:rsidP="00C17B5E">
      <w:pPr>
        <w:ind w:firstLine="720"/>
        <w:rPr>
          <w:sz w:val="22"/>
          <w:szCs w:val="22"/>
        </w:rPr>
      </w:pPr>
      <w:r w:rsidRPr="00C17B5E">
        <w:rPr>
          <w:b/>
          <w:sz w:val="22"/>
          <w:szCs w:val="22"/>
        </w:rPr>
        <w:t>VšĮ Utenos ligoninė</w:t>
      </w:r>
      <w:r w:rsidRPr="00C17B5E">
        <w:rPr>
          <w:sz w:val="22"/>
          <w:szCs w:val="22"/>
        </w:rPr>
        <w:t xml:space="preserve">, atstovaujama direktoriaus  Daliaus Drungos, toliau vadinama Pirkėju, ir _________________________ atstovaujama __________________________, toliau vadinama Tiekėju,  sudarė šią sutartį: </w:t>
      </w:r>
    </w:p>
    <w:p w14:paraId="3765E6DE" w14:textId="77777777" w:rsidR="00C17B5E" w:rsidRPr="00C17B5E" w:rsidRDefault="00C17B5E" w:rsidP="00C17B5E">
      <w:pPr>
        <w:jc w:val="center"/>
        <w:rPr>
          <w:b/>
          <w:sz w:val="22"/>
          <w:szCs w:val="22"/>
        </w:rPr>
      </w:pPr>
      <w:r w:rsidRPr="00C17B5E">
        <w:rPr>
          <w:b/>
          <w:sz w:val="22"/>
          <w:szCs w:val="22"/>
        </w:rPr>
        <w:t>1. SUTARTIES OBJEKTAS</w:t>
      </w:r>
    </w:p>
    <w:p w14:paraId="5B56B148" w14:textId="77777777" w:rsidR="00C17B5E" w:rsidRPr="00C17B5E" w:rsidRDefault="00C17B5E" w:rsidP="00C17B5E">
      <w:pPr>
        <w:rPr>
          <w:sz w:val="22"/>
          <w:szCs w:val="22"/>
        </w:rPr>
      </w:pPr>
    </w:p>
    <w:p w14:paraId="27DC00CF" w14:textId="77777777" w:rsidR="00C17B5E" w:rsidRPr="00C17B5E" w:rsidRDefault="00C17B5E" w:rsidP="00C17B5E">
      <w:pPr>
        <w:pStyle w:val="NormalWeb"/>
        <w:spacing w:before="0" w:after="0"/>
        <w:ind w:firstLine="709"/>
        <w:jc w:val="both"/>
        <w:rPr>
          <w:sz w:val="22"/>
          <w:szCs w:val="22"/>
        </w:rPr>
      </w:pPr>
      <w:r w:rsidRPr="00C17B5E">
        <w:rPr>
          <w:sz w:val="22"/>
          <w:szCs w:val="22"/>
        </w:rPr>
        <w:t>1.1. Tiekėjas įsipareigoja parduoti ir pagal Pirkėjo užsakymą pristatyti prekes (farmacijos produktus), o Pirkėjas priimti ir apmokėti už juos šalių sutartyje numatytą kainą.</w:t>
      </w:r>
    </w:p>
    <w:p w14:paraId="3E17BD05" w14:textId="77777777" w:rsidR="00C17B5E" w:rsidRPr="00C17B5E" w:rsidRDefault="00C17B5E" w:rsidP="00C17B5E">
      <w:pPr>
        <w:pStyle w:val="NormalWeb"/>
        <w:spacing w:before="0" w:after="0"/>
        <w:ind w:firstLine="709"/>
        <w:jc w:val="both"/>
        <w:rPr>
          <w:sz w:val="22"/>
          <w:szCs w:val="22"/>
        </w:rPr>
      </w:pPr>
      <w:r w:rsidRPr="00C17B5E">
        <w:rPr>
          <w:sz w:val="22"/>
          <w:szCs w:val="22"/>
        </w:rPr>
        <w:t>1.2. Prekių asortimentas, kainos ir kiekiai nurodyti specifikacijoje (1 priedas), kuri yra neatskiriama šios sutarties dalis.  Pirkėjas gali pirkti ir kitų pavadinimų farmacijos produktus (pagal poreikį)  pagal tą dieną tiekėjo galiojančias kainas perkamiems produktams.</w:t>
      </w:r>
    </w:p>
    <w:p w14:paraId="2FBB4F05" w14:textId="77777777" w:rsidR="00C17B5E" w:rsidRPr="00C17B5E" w:rsidRDefault="00C17B5E" w:rsidP="00C17B5E">
      <w:pPr>
        <w:jc w:val="center"/>
        <w:rPr>
          <w:b/>
          <w:sz w:val="22"/>
          <w:szCs w:val="22"/>
        </w:rPr>
      </w:pPr>
      <w:r w:rsidRPr="00C17B5E">
        <w:rPr>
          <w:b/>
          <w:sz w:val="22"/>
          <w:szCs w:val="22"/>
        </w:rPr>
        <w:t>2. SUTARTIES SUMA</w:t>
      </w:r>
    </w:p>
    <w:p w14:paraId="3FD3435D" w14:textId="77777777" w:rsidR="00C17B5E" w:rsidRPr="00C17B5E" w:rsidRDefault="00C17B5E" w:rsidP="00C17B5E">
      <w:pPr>
        <w:rPr>
          <w:sz w:val="22"/>
          <w:szCs w:val="22"/>
        </w:rPr>
      </w:pPr>
    </w:p>
    <w:p w14:paraId="26CC2ABE" w14:textId="77777777" w:rsidR="00C17B5E" w:rsidRPr="00C17B5E" w:rsidRDefault="00C17B5E" w:rsidP="00C17B5E">
      <w:pPr>
        <w:ind w:firstLine="720"/>
        <w:rPr>
          <w:sz w:val="22"/>
          <w:szCs w:val="22"/>
        </w:rPr>
      </w:pPr>
      <w:r w:rsidRPr="00C17B5E">
        <w:rPr>
          <w:sz w:val="22"/>
          <w:szCs w:val="22"/>
        </w:rPr>
        <w:t xml:space="preserve">2.1.Sutarties  suma  be PVM sudaro ______ Eur ( ________ )PVM suma _______ Eur ( _____). Bendra sutarties suma su PVM sudaro __________ Eur ( _______ ).    </w:t>
      </w:r>
    </w:p>
    <w:p w14:paraId="01907A58" w14:textId="77777777" w:rsidR="00C17B5E" w:rsidRPr="00C17B5E" w:rsidRDefault="00C17B5E" w:rsidP="00C17B5E">
      <w:pPr>
        <w:ind w:firstLine="720"/>
        <w:rPr>
          <w:sz w:val="22"/>
          <w:szCs w:val="22"/>
        </w:rPr>
      </w:pPr>
      <w:r w:rsidRPr="00C17B5E">
        <w:rPr>
          <w:sz w:val="22"/>
          <w:szCs w:val="22"/>
        </w:rPr>
        <w:t>2.2. Sutartyje bus nustatyta fiksuota kaina, kuri sutarties vykdymo laikotarpiu negalės būti keičiama per visą sutarties vykdymo laikotarpį</w:t>
      </w:r>
      <w:r w:rsidRPr="00C17B5E">
        <w:rPr>
          <w:i/>
          <w:sz w:val="22"/>
          <w:szCs w:val="22"/>
        </w:rPr>
        <w:t xml:space="preserve">, </w:t>
      </w:r>
      <w:r w:rsidRPr="00C17B5E">
        <w:rPr>
          <w:sz w:val="22"/>
          <w:szCs w:val="22"/>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nepateiktų prekių kaina keičiama (mažinama ar didinama) proporcingai PVM pasikeitusio tarifo dydžiu. Kainos pakeitimas įforminamas papildomu susitarimu.</w:t>
      </w:r>
    </w:p>
    <w:p w14:paraId="1EB221BE" w14:textId="77777777" w:rsidR="00C17B5E" w:rsidRPr="00C17B5E" w:rsidRDefault="00C17B5E" w:rsidP="00C17B5E">
      <w:pPr>
        <w:ind w:firstLine="720"/>
        <w:rPr>
          <w:sz w:val="22"/>
          <w:szCs w:val="22"/>
        </w:rPr>
      </w:pPr>
      <w:r w:rsidRPr="00C17B5E">
        <w:rPr>
          <w:sz w:val="22"/>
          <w:szCs w:val="22"/>
        </w:rPr>
        <w:t>2.3. Į bendrą sutarties sumą įskaityti visi Tiekėjo mokami mokesčiai, prekių tiekimo, jų pristatymo išlaidos ir kitos išlaidos, būtinos Sutarties vykdymui.</w:t>
      </w:r>
    </w:p>
    <w:p w14:paraId="32C52A1A" w14:textId="77777777" w:rsidR="00C17B5E" w:rsidRPr="00C17B5E" w:rsidRDefault="00C17B5E" w:rsidP="00C17B5E">
      <w:pPr>
        <w:ind w:firstLine="720"/>
        <w:rPr>
          <w:sz w:val="22"/>
          <w:szCs w:val="22"/>
        </w:rPr>
      </w:pPr>
      <w:r w:rsidRPr="00C17B5E">
        <w:rPr>
          <w:sz w:val="22"/>
          <w:szCs w:val="22"/>
        </w:rPr>
        <w:t xml:space="preserve">2.4. Pirkimo sutarties sąlygos sutarties galiojimo laikotarpiu negali būti keičiamos, išskyrus tokias pirkimo sutarties sąlygas, kurias  pakeitus  nebūtų  pažeisti  Viešųjų pirkimų įstatymo 17 straipsnyje nustatyti  principai  ir  tikslai. Pirkimo sutarties sąlygų keitimu nebus laikomas pirkimo sutarties sąlygų koregavimas joje numatytomis aplinkybėmis, jei šios aplinkybės nustatytos aiškiai ir nedviprasmiškai, bei buvo pateiktos pirkimo dokumentuose. Tais atvejais, kai pirkimo sutarties sąlygų keitimo būtinybės nebuvo įmanoma numatyti rengiant konkurso sąlygas ir (ar) pirkimo sutarties sudarymo metu, pirkimo sutarties šalys gali keisti tik neesmines pirkimo sutarties sąlygas. </w:t>
      </w:r>
    </w:p>
    <w:p w14:paraId="50ECEFA3" w14:textId="77777777" w:rsidR="00C17B5E" w:rsidRPr="00C17B5E" w:rsidRDefault="00C17B5E" w:rsidP="00C17B5E">
      <w:pPr>
        <w:ind w:firstLine="720"/>
        <w:rPr>
          <w:sz w:val="22"/>
          <w:szCs w:val="22"/>
        </w:rPr>
      </w:pPr>
    </w:p>
    <w:p w14:paraId="2CB22DA6" w14:textId="77777777" w:rsidR="00C17B5E" w:rsidRPr="00C17B5E" w:rsidRDefault="00C17B5E" w:rsidP="00C17B5E">
      <w:pPr>
        <w:jc w:val="center"/>
        <w:rPr>
          <w:b/>
          <w:sz w:val="22"/>
          <w:szCs w:val="22"/>
        </w:rPr>
      </w:pPr>
      <w:r w:rsidRPr="00C17B5E">
        <w:rPr>
          <w:b/>
          <w:sz w:val="22"/>
          <w:szCs w:val="22"/>
        </w:rPr>
        <w:t>3. FARMACIJOS PRODUKTŲ  PRISTATYMAS</w:t>
      </w:r>
    </w:p>
    <w:p w14:paraId="4647F236" w14:textId="77777777" w:rsidR="00C17B5E" w:rsidRPr="00C17B5E" w:rsidRDefault="00C17B5E" w:rsidP="00C17B5E">
      <w:pPr>
        <w:pStyle w:val="Heading1"/>
        <w:ind w:firstLine="720"/>
        <w:jc w:val="both"/>
        <w:rPr>
          <w:rFonts w:ascii="Times New Roman" w:hAnsi="Times New Roman" w:cs="Times New Roman"/>
          <w:b/>
          <w:color w:val="auto"/>
          <w:sz w:val="22"/>
          <w:szCs w:val="22"/>
        </w:rPr>
      </w:pPr>
      <w:r w:rsidRPr="00C17B5E">
        <w:rPr>
          <w:rFonts w:ascii="Times New Roman" w:hAnsi="Times New Roman" w:cs="Times New Roman"/>
          <w:color w:val="auto"/>
          <w:sz w:val="22"/>
          <w:szCs w:val="22"/>
        </w:rPr>
        <w:t>3.1. Prekės pagal pirkimo sutartį bus užsakomos dalimis, pagal Pirkėjo poreikį. Užsakymas gali būti laisvos formos, t.y. telefonu, faksu, elektroniniu paštu. Prekių pristatymo terminas: per 4 darbo dienas nuo užsakymo dienos. Kai Tiekėjas neturi pakankamo Pirkėjo užsakytų prekių kiekio, prekės pristatomos per Pirkėjo ir Tiekėjo suderintą papildomą terminą, kuris negali būti ilgesnis kaip 3 darbo dienos.</w:t>
      </w:r>
    </w:p>
    <w:p w14:paraId="5123CFD7" w14:textId="77777777" w:rsidR="00C17B5E" w:rsidRPr="00C17B5E" w:rsidRDefault="00C17B5E" w:rsidP="00C17B5E">
      <w:pPr>
        <w:ind w:firstLine="720"/>
        <w:rPr>
          <w:sz w:val="22"/>
          <w:szCs w:val="22"/>
        </w:rPr>
      </w:pPr>
      <w:r w:rsidRPr="00C17B5E">
        <w:rPr>
          <w:sz w:val="22"/>
          <w:szCs w:val="22"/>
        </w:rPr>
        <w:t>3.2. Prekių pristatymo vieta: VšĮ Utenos ligoninė, vaistinė, Aukštakalnio g. 3, LT-28151 Utena.</w:t>
      </w:r>
    </w:p>
    <w:p w14:paraId="65E95D38" w14:textId="77777777" w:rsidR="00C17B5E" w:rsidRPr="00C17B5E" w:rsidRDefault="00C17B5E" w:rsidP="00C17B5E">
      <w:pPr>
        <w:pStyle w:val="BodyText2"/>
        <w:ind w:firstLine="720"/>
        <w:rPr>
          <w:rFonts w:ascii="Times New Roman" w:hAnsi="Times New Roman"/>
          <w:sz w:val="22"/>
          <w:szCs w:val="22"/>
          <w:lang w:val="lt-LT"/>
        </w:rPr>
      </w:pPr>
      <w:r w:rsidRPr="00C17B5E">
        <w:rPr>
          <w:rFonts w:ascii="Times New Roman" w:hAnsi="Times New Roman"/>
          <w:sz w:val="22"/>
          <w:szCs w:val="22"/>
          <w:lang w:val="pt-BR"/>
        </w:rPr>
        <w:t xml:space="preserve">3.3. </w:t>
      </w:r>
      <w:r w:rsidRPr="00C17B5E">
        <w:rPr>
          <w:rFonts w:ascii="Times New Roman" w:hAnsi="Times New Roman"/>
          <w:sz w:val="22"/>
          <w:szCs w:val="22"/>
          <w:lang w:val="lt-LT"/>
        </w:rPr>
        <w:t xml:space="preserve">Tiekėjas Prekes perduoda Pirkėjo įgaliotam asmeniui. Prekių pristatymo ir perdavimo data yra Pirkėjo pasirašymo sąskaitoje faktūroje (perdavimo-priėmimo akte arba kituose dokumentuose) diena. </w:t>
      </w:r>
    </w:p>
    <w:p w14:paraId="44AA1FAF" w14:textId="77777777" w:rsidR="00C17B5E" w:rsidRPr="00C17B5E" w:rsidRDefault="00C17B5E" w:rsidP="00C17B5E">
      <w:pPr>
        <w:pStyle w:val="BodyText2"/>
        <w:ind w:firstLine="720"/>
        <w:rPr>
          <w:rFonts w:ascii="Times New Roman" w:hAnsi="Times New Roman"/>
          <w:sz w:val="22"/>
          <w:szCs w:val="22"/>
          <w:lang w:val="lt-LT"/>
        </w:rPr>
      </w:pPr>
      <w:r w:rsidRPr="00C17B5E">
        <w:rPr>
          <w:rFonts w:ascii="Times New Roman" w:hAnsi="Times New Roman"/>
          <w:sz w:val="22"/>
          <w:szCs w:val="22"/>
          <w:lang w:val="lt-LT"/>
        </w:rPr>
        <w:t>3.4.Pirkėjui pateikiama sąskaita faktūra (priėmimo-perdavimo aktas arba kitas dokumentas), kurioje nurodoma prekės registravimo numeris, serija, analizės numeris ir pateikiamos prekių kokybės sertifikatų kopijos. Tiekėjas įsipareigoja išrašomoje sąskaitoje faktūroje vartoti tuos pačius pavadinimus ir mato vnt. kokie yra pridedamoje specifikacijoje.</w:t>
      </w:r>
    </w:p>
    <w:p w14:paraId="4D8E5D75" w14:textId="77777777" w:rsidR="00C17B5E" w:rsidRPr="00C17B5E" w:rsidRDefault="00C17B5E" w:rsidP="00C17B5E">
      <w:pPr>
        <w:pStyle w:val="BodyText2"/>
        <w:ind w:firstLine="720"/>
        <w:rPr>
          <w:rFonts w:ascii="Times New Roman" w:hAnsi="Times New Roman"/>
          <w:sz w:val="22"/>
          <w:szCs w:val="22"/>
          <w:lang w:val="lt-LT"/>
        </w:rPr>
      </w:pPr>
      <w:r w:rsidRPr="00C17B5E">
        <w:rPr>
          <w:rFonts w:ascii="Times New Roman" w:hAnsi="Times New Roman"/>
          <w:sz w:val="22"/>
          <w:szCs w:val="22"/>
          <w:lang w:val="lt-LT"/>
        </w:rPr>
        <w:t>3.5. Prekių priėmimą, t.y. kokybės ir kiekių tikrinimą, vykdo abiejų šalių įgalioti asmenys prekių pristatymo vietoje.</w:t>
      </w:r>
    </w:p>
    <w:p w14:paraId="69A42605" w14:textId="77777777" w:rsidR="00C17B5E" w:rsidRPr="00C17B5E" w:rsidRDefault="00C17B5E" w:rsidP="00C17B5E">
      <w:pPr>
        <w:pStyle w:val="BodyText2"/>
        <w:ind w:firstLine="720"/>
        <w:rPr>
          <w:rFonts w:ascii="Times New Roman" w:hAnsi="Times New Roman"/>
          <w:sz w:val="22"/>
          <w:szCs w:val="22"/>
          <w:lang w:val="lt-LT"/>
        </w:rPr>
      </w:pPr>
      <w:r w:rsidRPr="00C17B5E">
        <w:rPr>
          <w:rFonts w:ascii="Times New Roman" w:hAnsi="Times New Roman"/>
          <w:sz w:val="22"/>
          <w:szCs w:val="22"/>
          <w:lang w:val="lt-LT"/>
        </w:rPr>
        <w:t>3.6. Pirkėjas (jo įgaliotas asmuo), priėmęs prekes, sąskaitoje faktūroje (priėmimo-perdavimo akte arba kituose dokumentuose) turi nurodyti gavimo datą, savo vardą, pavardę ir pareigas, uždėti spaudą, pasirašyti bei vieną dokumento egzempliorių grąžinti Tiekėjo atstovui.</w:t>
      </w:r>
    </w:p>
    <w:p w14:paraId="595389D2" w14:textId="77777777" w:rsidR="00C17B5E" w:rsidRPr="00C17B5E" w:rsidRDefault="00C17B5E" w:rsidP="00C17B5E">
      <w:pPr>
        <w:ind w:firstLine="720"/>
        <w:rPr>
          <w:sz w:val="22"/>
          <w:szCs w:val="22"/>
        </w:rPr>
      </w:pPr>
      <w:r w:rsidRPr="00C17B5E">
        <w:rPr>
          <w:sz w:val="22"/>
          <w:szCs w:val="22"/>
        </w:rPr>
        <w:lastRenderedPageBreak/>
        <w:t>3.6. Jei pristatymo metu yra akivaizdus prekių pakuočių pažeidimas ir kyla įtarimas, kad prekės gali būti nekokybiškos ar galimas jų trūkumas, Pirkėjas (jo įgaliotas asmuo) sutikrina pristatytas prekes Tiekėjo (jo įgalioto asmens), pristačiusio prekes, akivaizdoje. Nustačius užsakytų prekių kokybės ar kiekio neatitikimus, Pirkėjas įsipareigoja apie tai pranešti per protingą terminą Tiekėjui.</w:t>
      </w:r>
    </w:p>
    <w:p w14:paraId="74DB2EBA" w14:textId="77777777" w:rsidR="00C17B5E" w:rsidRPr="00C17B5E" w:rsidRDefault="00C17B5E" w:rsidP="00C17B5E">
      <w:pPr>
        <w:ind w:firstLine="720"/>
        <w:rPr>
          <w:sz w:val="22"/>
          <w:szCs w:val="22"/>
        </w:rPr>
      </w:pPr>
    </w:p>
    <w:p w14:paraId="179C95ED" w14:textId="4F9132C3" w:rsidR="00C17B5E" w:rsidRDefault="00C17B5E" w:rsidP="00C17B5E">
      <w:pPr>
        <w:jc w:val="center"/>
        <w:rPr>
          <w:b/>
          <w:sz w:val="22"/>
          <w:szCs w:val="22"/>
        </w:rPr>
      </w:pPr>
      <w:r w:rsidRPr="00C17B5E">
        <w:rPr>
          <w:b/>
          <w:sz w:val="22"/>
          <w:szCs w:val="22"/>
        </w:rPr>
        <w:t>4. FARMACIJOS PRODUKTŲ KOKYBĖ IR GARANTIJOS</w:t>
      </w:r>
    </w:p>
    <w:p w14:paraId="10553869" w14:textId="77777777" w:rsidR="003C3BD0" w:rsidRPr="00C17B5E" w:rsidRDefault="003C3BD0" w:rsidP="00C17B5E">
      <w:pPr>
        <w:jc w:val="center"/>
        <w:rPr>
          <w:b/>
          <w:sz w:val="22"/>
          <w:szCs w:val="22"/>
        </w:rPr>
      </w:pPr>
    </w:p>
    <w:p w14:paraId="6D305E6A" w14:textId="77777777" w:rsidR="00C17B5E" w:rsidRPr="00C17B5E" w:rsidRDefault="00C17B5E" w:rsidP="00C17B5E">
      <w:pPr>
        <w:ind w:firstLine="709"/>
        <w:rPr>
          <w:sz w:val="22"/>
          <w:szCs w:val="22"/>
        </w:rPr>
      </w:pPr>
      <w:r w:rsidRPr="00C17B5E">
        <w:rPr>
          <w:sz w:val="22"/>
          <w:szCs w:val="22"/>
        </w:rPr>
        <w:t>4.1.  Tiekėjas garantuoja, kad prekės yra naujos, nenaudotos, be defektų ir jų kokybė atitinka tai prekių grupei keliamas technines sąlygas ir standartus, Tiekėjo pasiūlymą bei kitus Sutarties reikalavimus, taip pat atitinka visus, su jų tiekimu ir kokybe susijusių Lietuvos Respublikos ir Europos Sąjungos teisės aktų reikalavimus. Tiekėjas garantuoja, kad prekės yra kokybiškos, neturi paslėptų trūkumų ir defektų.</w:t>
      </w:r>
    </w:p>
    <w:p w14:paraId="73A306FC" w14:textId="77777777" w:rsidR="00C17B5E" w:rsidRPr="00C17B5E" w:rsidRDefault="00C17B5E" w:rsidP="00C17B5E">
      <w:pPr>
        <w:ind w:firstLine="709"/>
        <w:rPr>
          <w:sz w:val="22"/>
          <w:szCs w:val="22"/>
        </w:rPr>
      </w:pPr>
      <w:r w:rsidRPr="00C17B5E">
        <w:rPr>
          <w:sz w:val="22"/>
          <w:szCs w:val="22"/>
        </w:rPr>
        <w:t>4.2. Pateiktų prekių galiojimo terminas turi būti ne trumpesnis kaip 70-80 % viso prekės tinkamumo naudoti termino.</w:t>
      </w:r>
    </w:p>
    <w:p w14:paraId="504FE2C3" w14:textId="77777777" w:rsidR="00C17B5E" w:rsidRPr="00C17B5E" w:rsidRDefault="00C17B5E" w:rsidP="00C17B5E">
      <w:pPr>
        <w:pStyle w:val="NormalWeb"/>
        <w:spacing w:before="0" w:after="0"/>
        <w:ind w:firstLine="709"/>
        <w:jc w:val="both"/>
        <w:rPr>
          <w:sz w:val="22"/>
          <w:szCs w:val="22"/>
        </w:rPr>
      </w:pPr>
      <w:r w:rsidRPr="00C17B5E">
        <w:rPr>
          <w:sz w:val="22"/>
          <w:szCs w:val="22"/>
        </w:rPr>
        <w:t>4.3. Tiekėjas įsipareigoja visiškai atsakyti už teikiamų prekių kokybę. Paaiškėjus paslėptiems ir kitiems Prekių trūkumams ar jei Prekės neatitiks Sutartyje nustatytų reikalavimų, Tiekėjas privalo per 3 (tris) darbo dienas nuo pranešimo apie trūkumus, pašalinti trūkumus arba pakeisti Sutartyje nustatytų reikalavimų neatitinkančias Prekes atitinkančiomis Sutartyje nustatytus reikalavimus, t.y. privalo pakeisti Prekes kokybiškomis.</w:t>
      </w:r>
    </w:p>
    <w:p w14:paraId="23BB3E5D" w14:textId="77777777" w:rsidR="00C17B5E" w:rsidRPr="00C17B5E" w:rsidRDefault="00C17B5E" w:rsidP="00C17B5E">
      <w:pPr>
        <w:pStyle w:val="NormalWeb"/>
        <w:spacing w:before="0" w:after="0"/>
        <w:ind w:firstLine="709"/>
        <w:jc w:val="both"/>
        <w:rPr>
          <w:sz w:val="22"/>
          <w:szCs w:val="22"/>
        </w:rPr>
      </w:pPr>
      <w:r w:rsidRPr="00C17B5E">
        <w:rPr>
          <w:sz w:val="22"/>
          <w:szCs w:val="22"/>
        </w:rPr>
        <w:t>4.4. Prekių kokybės dokumentai pateikiami  perkančiajai organizacijai  kartu su prekėmis.</w:t>
      </w:r>
    </w:p>
    <w:p w14:paraId="6154425C" w14:textId="77777777" w:rsidR="00C17B5E" w:rsidRPr="00C17B5E" w:rsidRDefault="00C17B5E" w:rsidP="00C17B5E">
      <w:pPr>
        <w:pStyle w:val="NormalWeb"/>
        <w:spacing w:before="0" w:after="0"/>
        <w:ind w:firstLine="709"/>
        <w:jc w:val="both"/>
        <w:rPr>
          <w:sz w:val="22"/>
          <w:szCs w:val="22"/>
        </w:rPr>
      </w:pPr>
      <w:r w:rsidRPr="00C17B5E">
        <w:rPr>
          <w:sz w:val="22"/>
          <w:szCs w:val="22"/>
        </w:rPr>
        <w:t>4.5. Tiekėjas garantuoja nenutrūkstamą prekių tiekimą.</w:t>
      </w:r>
    </w:p>
    <w:p w14:paraId="7882B5AF" w14:textId="77777777" w:rsidR="00C17B5E" w:rsidRPr="00C17B5E" w:rsidRDefault="00C17B5E" w:rsidP="00C17B5E">
      <w:pPr>
        <w:pStyle w:val="BodyText2"/>
        <w:tabs>
          <w:tab w:val="left" w:pos="0"/>
        </w:tabs>
        <w:ind w:firstLine="720"/>
        <w:rPr>
          <w:rFonts w:ascii="Times New Roman" w:hAnsi="Times New Roman"/>
          <w:sz w:val="22"/>
          <w:szCs w:val="22"/>
          <w:lang w:val="lt-LT"/>
        </w:rPr>
      </w:pPr>
      <w:r w:rsidRPr="00C17B5E">
        <w:rPr>
          <w:rFonts w:ascii="Times New Roman" w:hAnsi="Times New Roman"/>
          <w:sz w:val="22"/>
          <w:szCs w:val="22"/>
          <w:lang w:val="lt-LT"/>
        </w:rPr>
        <w:t>4.6. Netinkamos kokybės ar dėl Tiekėjo kaltės pristatytos ne tos rūšies prekės grąžinamos Tiekėjui. Prekių grąžinimas turi būti įformintas Lietuvos Respublikos įstatymais numatyta tvarka. Prekės grąžinamos Tiekėjo sąskaita tomis pačiomis kainomis, kokiomis buvo gautos.</w:t>
      </w:r>
    </w:p>
    <w:p w14:paraId="4980FADA" w14:textId="77777777" w:rsidR="00C17B5E" w:rsidRPr="00C17B5E" w:rsidRDefault="00C17B5E" w:rsidP="00C17B5E">
      <w:pPr>
        <w:pStyle w:val="BodyText2"/>
        <w:tabs>
          <w:tab w:val="left" w:pos="0"/>
        </w:tabs>
        <w:ind w:firstLine="720"/>
        <w:rPr>
          <w:rFonts w:ascii="Times New Roman" w:hAnsi="Times New Roman"/>
          <w:sz w:val="22"/>
          <w:szCs w:val="22"/>
          <w:lang w:val="lt-LT"/>
        </w:rPr>
      </w:pPr>
      <w:r w:rsidRPr="00C17B5E">
        <w:rPr>
          <w:rFonts w:ascii="Times New Roman" w:hAnsi="Times New Roman"/>
          <w:sz w:val="22"/>
          <w:szCs w:val="22"/>
          <w:lang w:val="lt-LT"/>
        </w:rPr>
        <w:t>4.7. Pirkėjas turi teisę nutraukti Sutartį ir pareikalauti iš Tiekėjo atlyginti dėl Sutarties nutraukimo patirtus nuostolius, jei Tiekėjas nepakeičia Sutartyje nustatytų reikalavimų neatitinkančių Prekių atitinkančiomis reikalavimus Prekėmis per Sutarties 4.3. punkte nustatytą terminą.</w:t>
      </w:r>
    </w:p>
    <w:p w14:paraId="742455D5" w14:textId="77777777" w:rsidR="00C17B5E" w:rsidRPr="00C17B5E" w:rsidRDefault="00C17B5E" w:rsidP="00C17B5E">
      <w:pPr>
        <w:pStyle w:val="BodyText2"/>
        <w:tabs>
          <w:tab w:val="left" w:pos="0"/>
        </w:tabs>
        <w:ind w:firstLine="720"/>
        <w:rPr>
          <w:rFonts w:ascii="Times New Roman" w:hAnsi="Times New Roman"/>
          <w:sz w:val="22"/>
          <w:szCs w:val="22"/>
          <w:lang w:val="lt-LT"/>
        </w:rPr>
      </w:pPr>
    </w:p>
    <w:p w14:paraId="30FDC803" w14:textId="3061D841" w:rsidR="00C17B5E" w:rsidRDefault="00C17B5E" w:rsidP="00C17B5E">
      <w:pPr>
        <w:jc w:val="center"/>
        <w:rPr>
          <w:b/>
          <w:sz w:val="22"/>
          <w:szCs w:val="22"/>
        </w:rPr>
      </w:pPr>
      <w:r w:rsidRPr="00C17B5E">
        <w:rPr>
          <w:b/>
          <w:sz w:val="22"/>
          <w:szCs w:val="22"/>
        </w:rPr>
        <w:t>5. ATSISKAITYMO SĄLYGOS</w:t>
      </w:r>
    </w:p>
    <w:p w14:paraId="34B213B9" w14:textId="77777777" w:rsidR="003C3BD0" w:rsidRPr="00C17B5E" w:rsidRDefault="003C3BD0" w:rsidP="00C17B5E">
      <w:pPr>
        <w:jc w:val="center"/>
        <w:rPr>
          <w:b/>
          <w:sz w:val="22"/>
          <w:szCs w:val="22"/>
        </w:rPr>
      </w:pPr>
    </w:p>
    <w:p w14:paraId="12EEE9D8" w14:textId="77777777" w:rsidR="00C17B5E" w:rsidRPr="00C17B5E" w:rsidRDefault="00C17B5E" w:rsidP="00C17B5E">
      <w:pPr>
        <w:pStyle w:val="NormalWeb"/>
        <w:spacing w:before="0" w:after="0"/>
        <w:ind w:firstLine="709"/>
        <w:rPr>
          <w:sz w:val="22"/>
          <w:szCs w:val="22"/>
        </w:rPr>
      </w:pPr>
      <w:r w:rsidRPr="00C17B5E">
        <w:rPr>
          <w:sz w:val="22"/>
          <w:szCs w:val="22"/>
        </w:rPr>
        <w:t>5.1. Nustatoma fiksuota prekių kaina.</w:t>
      </w:r>
    </w:p>
    <w:p w14:paraId="34313279" w14:textId="77777777" w:rsidR="00BD1A8F" w:rsidRDefault="00C17B5E" w:rsidP="00BD1A8F">
      <w:pPr>
        <w:pStyle w:val="NormalWeb"/>
        <w:spacing w:before="0" w:after="0"/>
        <w:ind w:firstLine="709"/>
        <w:jc w:val="both"/>
        <w:rPr>
          <w:sz w:val="22"/>
          <w:szCs w:val="22"/>
        </w:rPr>
      </w:pPr>
      <w:r w:rsidRPr="00C17B5E">
        <w:rPr>
          <w:sz w:val="22"/>
          <w:szCs w:val="22"/>
        </w:rPr>
        <w:t>5.2. Nuo šios sutarties pasirašymo dienos, pasikeitus Pridėtinės vertės mokesčiui, šioje sutartyje nurodytos prekių kainos likusiam neišpirktam prekių kiekiui gali būti perskaičiuojamos, jas didinant (mažinant) pasikeitusiu Pridėtinės vertės mokesčio dydžiu. Kainų perskaičiavimas įforminamas raštišku šalių susitarimu.</w:t>
      </w:r>
    </w:p>
    <w:p w14:paraId="412359EC" w14:textId="44BA252E" w:rsidR="00C17B5E" w:rsidRPr="00BD1A8F" w:rsidRDefault="00C17B5E" w:rsidP="00BD1A8F">
      <w:pPr>
        <w:pStyle w:val="NormalWeb"/>
        <w:spacing w:before="0" w:after="0"/>
        <w:ind w:firstLine="709"/>
        <w:jc w:val="both"/>
        <w:rPr>
          <w:sz w:val="22"/>
          <w:szCs w:val="22"/>
        </w:rPr>
      </w:pPr>
      <w:r w:rsidRPr="00BD1A8F">
        <w:rPr>
          <w:sz w:val="22"/>
          <w:szCs w:val="22"/>
        </w:rPr>
        <w:t>5</w:t>
      </w:r>
      <w:r w:rsidRPr="00BD1A8F">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BD1A8F">
        <w:rPr>
          <w:sz w:val="22"/>
          <w:szCs w:val="22"/>
        </w:rPr>
        <w:t>Pirkėjas apmoka Pardavėjui už laiku pristatytas kokybiškas, Sutartyje ir Konkurso sąlygose nustatytus reikalavimus atitinkančias Prekes pagal gautas PVM sąskaitas faktūras per 30 (trisdešimt) kalendorinių dienų po to, kai privalomojo socialinio draudimo lėšos iš VLK (PSDF) bus pervestos į Pirkėjo sąskaitą, bet ne vėliau kaip per 60 kalendorinių dienų nuo PVM sąskaitos faktūros gavimo dienos.</w:t>
      </w:r>
    </w:p>
    <w:p w14:paraId="043D9651" w14:textId="77777777" w:rsidR="00C17B5E" w:rsidRPr="00C17B5E" w:rsidRDefault="00C17B5E" w:rsidP="00C17B5E">
      <w:pPr>
        <w:rPr>
          <w:sz w:val="22"/>
          <w:szCs w:val="22"/>
        </w:rPr>
      </w:pPr>
    </w:p>
    <w:p w14:paraId="49BC6443" w14:textId="2EAB7F71" w:rsidR="00C17B5E" w:rsidRDefault="00C17B5E" w:rsidP="00C17B5E">
      <w:pPr>
        <w:jc w:val="center"/>
        <w:rPr>
          <w:b/>
          <w:sz w:val="22"/>
          <w:szCs w:val="22"/>
        </w:rPr>
      </w:pPr>
      <w:r w:rsidRPr="00C17B5E">
        <w:rPr>
          <w:b/>
          <w:sz w:val="22"/>
          <w:szCs w:val="22"/>
        </w:rPr>
        <w:t>6. SUTARTIES ĮVYKDYMO UŽTIKRINIMAS</w:t>
      </w:r>
    </w:p>
    <w:p w14:paraId="0444E6B9" w14:textId="77777777" w:rsidR="003C3BD0" w:rsidRPr="00C17B5E" w:rsidRDefault="003C3BD0" w:rsidP="00C17B5E">
      <w:pPr>
        <w:jc w:val="center"/>
        <w:rPr>
          <w:b/>
          <w:sz w:val="22"/>
          <w:szCs w:val="22"/>
        </w:rPr>
      </w:pPr>
    </w:p>
    <w:p w14:paraId="5B5F3914" w14:textId="77777777" w:rsidR="00C17B5E" w:rsidRPr="00C17B5E" w:rsidRDefault="00C17B5E" w:rsidP="00C17B5E">
      <w:pPr>
        <w:pStyle w:val="NormalWeb"/>
        <w:spacing w:before="0" w:after="0"/>
        <w:ind w:firstLine="709"/>
        <w:jc w:val="both"/>
        <w:rPr>
          <w:sz w:val="22"/>
          <w:szCs w:val="22"/>
        </w:rPr>
      </w:pPr>
      <w:r w:rsidRPr="00C17B5E">
        <w:rPr>
          <w:sz w:val="22"/>
          <w:szCs w:val="22"/>
        </w:rPr>
        <w:t xml:space="preserve">6.1. Sutarties įvykdymo užtikrinimo priemonė yra netesybos. </w:t>
      </w:r>
    </w:p>
    <w:p w14:paraId="6F1D8CD4" w14:textId="77777777" w:rsidR="00C17B5E" w:rsidRPr="00C17B5E" w:rsidRDefault="00C17B5E" w:rsidP="00C17B5E">
      <w:pPr>
        <w:tabs>
          <w:tab w:val="left" w:pos="1080"/>
          <w:tab w:val="left" w:pos="1260"/>
        </w:tabs>
        <w:ind w:firstLine="709"/>
        <w:rPr>
          <w:sz w:val="22"/>
          <w:szCs w:val="22"/>
        </w:rPr>
      </w:pPr>
      <w:r w:rsidRPr="00C17B5E">
        <w:rPr>
          <w:sz w:val="22"/>
          <w:szCs w:val="22"/>
        </w:rPr>
        <w:t>6.2. Prekių Tiekėjo iniciatyva visai arba laikinai nutraukus prekių pardavimą sutartyje nurodytomis kainomis, Tiekėjas moka Pirkėjui 10 proc. dydžio baudą nuo nepateiktų prekių sumos arba užtikrina šių prekių pardavimą sutartyje nurodytomis kainomis, įsigydamas jas iš kito prekių Tiekėjo.</w:t>
      </w:r>
    </w:p>
    <w:p w14:paraId="5BB095AD" w14:textId="77777777" w:rsidR="00C17B5E" w:rsidRPr="00C17B5E" w:rsidRDefault="00C17B5E" w:rsidP="00C17B5E">
      <w:pPr>
        <w:ind w:firstLine="709"/>
        <w:rPr>
          <w:sz w:val="22"/>
          <w:szCs w:val="22"/>
        </w:rPr>
      </w:pPr>
      <w:r w:rsidRPr="00C17B5E">
        <w:rPr>
          <w:sz w:val="22"/>
          <w:szCs w:val="22"/>
        </w:rPr>
        <w:t>6.3. Pirkėjas, pažeidęs atsiskaitymo tvarką, Tiekėjui pareikalavus, Pirkėjas moka 0.02% dydžio delspinigius nuo nesumokėtos sumos už kiekvieną pradelstą  dieną.</w:t>
      </w:r>
    </w:p>
    <w:p w14:paraId="206B0702" w14:textId="77777777" w:rsidR="00C17B5E" w:rsidRPr="00C17B5E" w:rsidRDefault="00C17B5E" w:rsidP="00C17B5E">
      <w:pPr>
        <w:pStyle w:val="NormalWeb"/>
        <w:spacing w:before="0" w:after="0"/>
        <w:ind w:firstLine="709"/>
        <w:jc w:val="both"/>
        <w:rPr>
          <w:sz w:val="22"/>
          <w:szCs w:val="22"/>
        </w:rPr>
      </w:pPr>
      <w:r w:rsidRPr="00C17B5E">
        <w:rPr>
          <w:sz w:val="22"/>
          <w:szCs w:val="22"/>
        </w:rPr>
        <w:t>6.4. Tiekėjui nepateikus prekių per Sutarties 3.1. punkte nurodytą terminą, jis moka 0,02% dydžio delspinigius nuo nepateiktų prekių sumos arba užtikrina šių prekių pardavimą sutartyje nurodytomis kainomis, įsigydamas jas iš kito Tiekėjo (Pardavėjo).  Delspinigių sumokėjimas neatleidžia Tiekėjo nuo sutartinių įsipareigojimų įvykdymo.</w:t>
      </w:r>
    </w:p>
    <w:p w14:paraId="44F8A68D" w14:textId="77777777" w:rsidR="00C17B5E" w:rsidRPr="00C17B5E" w:rsidRDefault="00C17B5E" w:rsidP="00C17B5E">
      <w:pPr>
        <w:pStyle w:val="NormalWeb"/>
        <w:spacing w:before="0" w:after="0"/>
        <w:ind w:firstLine="709"/>
        <w:jc w:val="both"/>
        <w:rPr>
          <w:sz w:val="22"/>
          <w:szCs w:val="22"/>
        </w:rPr>
      </w:pPr>
      <w:r w:rsidRPr="00C17B5E">
        <w:rPr>
          <w:sz w:val="22"/>
          <w:szCs w:val="22"/>
        </w:rPr>
        <w:t>6.5. Avansinis mokėjimas nenumatomas.</w:t>
      </w:r>
    </w:p>
    <w:p w14:paraId="121A4C5D" w14:textId="77777777" w:rsidR="00C17B5E" w:rsidRPr="00C17B5E" w:rsidRDefault="00C17B5E" w:rsidP="00C17B5E">
      <w:pPr>
        <w:pStyle w:val="NormalWeb"/>
        <w:spacing w:before="0" w:after="0"/>
        <w:ind w:firstLine="709"/>
        <w:jc w:val="both"/>
        <w:rPr>
          <w:sz w:val="22"/>
          <w:szCs w:val="22"/>
        </w:rPr>
      </w:pPr>
    </w:p>
    <w:p w14:paraId="15F036CC" w14:textId="6254046C" w:rsidR="00C17B5E" w:rsidRDefault="00C17B5E" w:rsidP="00C17B5E">
      <w:pPr>
        <w:jc w:val="center"/>
        <w:rPr>
          <w:b/>
          <w:sz w:val="22"/>
          <w:szCs w:val="22"/>
        </w:rPr>
      </w:pPr>
      <w:r w:rsidRPr="00C17B5E">
        <w:rPr>
          <w:b/>
          <w:sz w:val="22"/>
          <w:szCs w:val="22"/>
        </w:rPr>
        <w:t>7. SUTARTIES GALIOJIMAS IR NUTRAUKIMAS</w:t>
      </w:r>
    </w:p>
    <w:p w14:paraId="4C3A8C6F" w14:textId="77777777" w:rsidR="003C3BD0" w:rsidRPr="00C17B5E" w:rsidRDefault="003C3BD0" w:rsidP="00C17B5E">
      <w:pPr>
        <w:jc w:val="center"/>
        <w:rPr>
          <w:b/>
          <w:sz w:val="22"/>
          <w:szCs w:val="22"/>
        </w:rPr>
      </w:pPr>
    </w:p>
    <w:p w14:paraId="3B72EDA0" w14:textId="77777777" w:rsidR="00C17B5E" w:rsidRPr="00C17B5E" w:rsidRDefault="00C17B5E" w:rsidP="00C17B5E">
      <w:pPr>
        <w:pStyle w:val="BodyTextIndent"/>
        <w:ind w:left="0" w:firstLine="709"/>
        <w:jc w:val="both"/>
        <w:rPr>
          <w:b/>
          <w:sz w:val="22"/>
          <w:szCs w:val="22"/>
        </w:rPr>
      </w:pPr>
      <w:r w:rsidRPr="00C17B5E">
        <w:rPr>
          <w:sz w:val="22"/>
          <w:szCs w:val="22"/>
        </w:rPr>
        <w:t xml:space="preserve">7.1. </w:t>
      </w:r>
      <w:r w:rsidRPr="00C17B5E">
        <w:rPr>
          <w:b/>
          <w:sz w:val="22"/>
          <w:szCs w:val="22"/>
        </w:rPr>
        <w:t xml:space="preserve">Sutartis įsigalioja nuo sutarties pasirašymo dienos ir galioja 12 (dvylika) mėnesių. </w:t>
      </w:r>
    </w:p>
    <w:p w14:paraId="4312F1D6" w14:textId="77777777" w:rsidR="00C17B5E" w:rsidRPr="00C17B5E" w:rsidRDefault="00C17B5E" w:rsidP="00C17B5E">
      <w:pPr>
        <w:ind w:firstLine="720"/>
        <w:rPr>
          <w:sz w:val="22"/>
          <w:szCs w:val="22"/>
        </w:rPr>
      </w:pPr>
      <w:r w:rsidRPr="00C17B5E">
        <w:rPr>
          <w:sz w:val="22"/>
          <w:szCs w:val="22"/>
        </w:rPr>
        <w:t>7.2. Šiai Sutarčiai ir visoms iš šios Sutarties atsirandančioms teisėms ir pareigoms taikomi Lietuvos Respublikos įstatymai bei kiti norminiai teisės aktai. Sutartis sudaryta ir turi būti aiškinama pagal Lietuvos Respublikos teisę.</w:t>
      </w:r>
    </w:p>
    <w:p w14:paraId="48D468FF" w14:textId="77777777" w:rsidR="00C17B5E" w:rsidRPr="00C17B5E" w:rsidRDefault="00C17B5E" w:rsidP="00C17B5E">
      <w:pPr>
        <w:numPr>
          <w:ilvl w:val="1"/>
          <w:numId w:val="6"/>
        </w:numPr>
        <w:tabs>
          <w:tab w:val="clear" w:pos="1069"/>
          <w:tab w:val="num" w:pos="0"/>
        </w:tabs>
        <w:ind w:left="0" w:firstLine="720"/>
        <w:jc w:val="both"/>
        <w:rPr>
          <w:b/>
          <w:sz w:val="22"/>
          <w:szCs w:val="22"/>
        </w:rPr>
      </w:pPr>
      <w:r w:rsidRPr="00C17B5E">
        <w:rPr>
          <w:sz w:val="22"/>
          <w:szCs w:val="22"/>
        </w:rPr>
        <w:t>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Lietuvos Respublikos teisme.</w:t>
      </w:r>
    </w:p>
    <w:p w14:paraId="17CCD8B4" w14:textId="77777777" w:rsidR="00C17B5E" w:rsidRPr="00C17B5E" w:rsidRDefault="00C17B5E" w:rsidP="00C17B5E">
      <w:pPr>
        <w:pStyle w:val="NormalWeb"/>
        <w:spacing w:before="0" w:after="0"/>
        <w:ind w:firstLine="720"/>
        <w:jc w:val="both"/>
        <w:rPr>
          <w:sz w:val="22"/>
          <w:szCs w:val="22"/>
        </w:rPr>
      </w:pPr>
      <w:r w:rsidRPr="00C17B5E">
        <w:rPr>
          <w:sz w:val="22"/>
          <w:szCs w:val="22"/>
        </w:rPr>
        <w:t>7.4. Sutartis gali būti nutraukta raštišku šalių susitarimu ir kitais Lietuvos Respublikos Civilinio kodekso numatytais pagrindais.</w:t>
      </w:r>
    </w:p>
    <w:p w14:paraId="28A2319B" w14:textId="77777777" w:rsidR="00C17B5E" w:rsidRPr="00C17B5E" w:rsidRDefault="00C17B5E" w:rsidP="00C17B5E">
      <w:pPr>
        <w:tabs>
          <w:tab w:val="left" w:pos="600"/>
        </w:tabs>
        <w:ind w:firstLine="720"/>
        <w:rPr>
          <w:b/>
          <w:sz w:val="22"/>
          <w:szCs w:val="22"/>
        </w:rPr>
      </w:pPr>
      <w:r w:rsidRPr="00C17B5E">
        <w:rPr>
          <w:sz w:val="22"/>
          <w:szCs w:val="22"/>
        </w:rPr>
        <w:t>7.5. Sutarties Šalys turi teisę Sutartį nutraukti savo iniciatyva, apie tai įspėjant kitą Sutarties Šalį ne vėliau kaip prieš 30 (trisdešimt) kalendorinių dienų. Ši nuostata netaikoma, kai Sutartis nutraukiama dėl įsipareigojimų, atsiradusių iš šios Sutarties, netinkamo vykdymo arba nevykdymo.</w:t>
      </w:r>
    </w:p>
    <w:p w14:paraId="7155D455" w14:textId="62FC4F06" w:rsidR="00C17B5E" w:rsidRDefault="00C17B5E" w:rsidP="00C17B5E">
      <w:pPr>
        <w:pStyle w:val="NormalWeb"/>
        <w:spacing w:before="0" w:after="0"/>
        <w:ind w:firstLine="720"/>
        <w:jc w:val="both"/>
        <w:rPr>
          <w:sz w:val="22"/>
          <w:szCs w:val="22"/>
        </w:rPr>
      </w:pPr>
      <w:r w:rsidRPr="00C17B5E">
        <w:rPr>
          <w:sz w:val="22"/>
          <w:szCs w:val="22"/>
        </w:rPr>
        <w:t>7.6. Vienai iš šalių nevykdant sutartyje numatytų įsipareigojimų, sutartis gali būti nutraukta vienašališkai, raštu įspėjus apie tai kitą sutarties šalį ne vėliau kaip prieš 14 (keturiolika) kalendorinių dienų iki sutarties nutraukimo dienos.</w:t>
      </w:r>
    </w:p>
    <w:p w14:paraId="04708501" w14:textId="77777777" w:rsidR="003C3BD0" w:rsidRPr="00C17B5E" w:rsidRDefault="003C3BD0" w:rsidP="00C17B5E">
      <w:pPr>
        <w:pStyle w:val="NormalWeb"/>
        <w:spacing w:before="0" w:after="0"/>
        <w:ind w:firstLine="720"/>
        <w:jc w:val="both"/>
        <w:rPr>
          <w:sz w:val="22"/>
          <w:szCs w:val="22"/>
        </w:rPr>
      </w:pPr>
    </w:p>
    <w:p w14:paraId="49CCA67B" w14:textId="7D2A590F" w:rsidR="00C17B5E" w:rsidRDefault="00C17B5E" w:rsidP="003C3BD0">
      <w:pPr>
        <w:jc w:val="center"/>
        <w:rPr>
          <w:b/>
          <w:sz w:val="22"/>
          <w:szCs w:val="22"/>
        </w:rPr>
      </w:pPr>
      <w:r w:rsidRPr="00C17B5E">
        <w:rPr>
          <w:b/>
          <w:sz w:val="22"/>
          <w:szCs w:val="22"/>
        </w:rPr>
        <w:t>8. NENUGALIMA JĖGA ( FORCE MAJEURE )</w:t>
      </w:r>
    </w:p>
    <w:p w14:paraId="5CA79360" w14:textId="77777777" w:rsidR="003C3BD0" w:rsidRPr="003C3BD0" w:rsidRDefault="003C3BD0" w:rsidP="003C3BD0">
      <w:pPr>
        <w:jc w:val="center"/>
        <w:rPr>
          <w:b/>
          <w:sz w:val="22"/>
          <w:szCs w:val="22"/>
        </w:rPr>
      </w:pPr>
    </w:p>
    <w:p w14:paraId="4B1B9E8A" w14:textId="77777777" w:rsidR="00C17B5E" w:rsidRPr="00C17B5E" w:rsidRDefault="00C17B5E" w:rsidP="00C17B5E">
      <w:pPr>
        <w:ind w:firstLine="709"/>
        <w:rPr>
          <w:sz w:val="22"/>
          <w:szCs w:val="22"/>
        </w:rPr>
      </w:pPr>
      <w:r w:rsidRPr="00C17B5E">
        <w:rPr>
          <w:sz w:val="22"/>
          <w:szCs w:val="22"/>
        </w:rPr>
        <w:t>8.1. Šalys neatsako už visišką ar dalinį savo įsipareigojimų pagal šią Sutartį nevykdymą, jei tai įvyksta dėl nenugalimos jėgos aplinkybių veikimo. Šalys nenugalimos jėgos (force majeure) aplinkybes supranta taip, kaip nustato Lietuvos Respublikos Vyriausybės 1996 m. liepos 15 d. nutarimu Nr.840 patvirtintos ,,Atleidimo nuo atsakomybės, esant nenugalimos jėgos (force majeure) aplinkybėms, taisyklės“.</w:t>
      </w:r>
    </w:p>
    <w:p w14:paraId="7D9DF683" w14:textId="77777777" w:rsidR="00C17B5E" w:rsidRPr="00C17B5E" w:rsidRDefault="00C17B5E" w:rsidP="00C17B5E">
      <w:pPr>
        <w:ind w:firstLine="709"/>
        <w:rPr>
          <w:sz w:val="22"/>
          <w:szCs w:val="22"/>
        </w:rPr>
      </w:pPr>
      <w:r w:rsidRPr="00C17B5E">
        <w:rPr>
          <w:sz w:val="22"/>
          <w:szCs w:val="22"/>
        </w:rPr>
        <w:t>8.2.  Šalis, kuri negali vykdyti savo įsipareigojimų pagal šią Sutartį dėl nenugalimos jėgos (force majeure) aplinkybių veikimo, privalo apie tai pranešti kitai šaliai kuo skubiau (ne vėliau kaip per 5 darbo dienas) nuo tokių aplinkybių veikimo pradžios. Šalis laiku nepranešusi kitai šaliai apie nenugalimos jėgos (force majeure) aplinkybes, netenka teisės jomis remtis.</w:t>
      </w:r>
      <w:r w:rsidRPr="00C17B5E">
        <w:rPr>
          <w:color w:val="000000"/>
          <w:sz w:val="22"/>
          <w:szCs w:val="22"/>
        </w:rPr>
        <w:t xml:space="preserve"> Prievolių nevykdanti šalis privalo atlyginti nuostolius, kurie susidarė per protingą terminą nepranešus kitai šaliai apie nenugalimos jėgos aplinkybes.</w:t>
      </w:r>
    </w:p>
    <w:p w14:paraId="3006EC63" w14:textId="77777777" w:rsidR="00C17B5E" w:rsidRPr="00C17B5E" w:rsidRDefault="00C17B5E" w:rsidP="00C17B5E">
      <w:pPr>
        <w:rPr>
          <w:sz w:val="22"/>
          <w:szCs w:val="22"/>
        </w:rPr>
      </w:pPr>
    </w:p>
    <w:p w14:paraId="14A761EB" w14:textId="23CDBEB1" w:rsidR="00C17B5E" w:rsidRDefault="00C17B5E" w:rsidP="00C17B5E">
      <w:pPr>
        <w:jc w:val="center"/>
        <w:rPr>
          <w:b/>
          <w:sz w:val="22"/>
          <w:szCs w:val="22"/>
        </w:rPr>
      </w:pPr>
      <w:r w:rsidRPr="00C17B5E">
        <w:rPr>
          <w:b/>
          <w:sz w:val="22"/>
          <w:szCs w:val="22"/>
        </w:rPr>
        <w:t>9. KITOS SĄLYGOS</w:t>
      </w:r>
    </w:p>
    <w:p w14:paraId="27194699" w14:textId="77777777" w:rsidR="003C3BD0" w:rsidRPr="00C17B5E" w:rsidRDefault="003C3BD0" w:rsidP="00C17B5E">
      <w:pPr>
        <w:jc w:val="center"/>
        <w:rPr>
          <w:b/>
          <w:sz w:val="22"/>
          <w:szCs w:val="22"/>
        </w:rPr>
      </w:pPr>
    </w:p>
    <w:p w14:paraId="74642093" w14:textId="77777777" w:rsidR="00C17B5E" w:rsidRPr="00C17B5E" w:rsidRDefault="00C17B5E" w:rsidP="00C17B5E">
      <w:pPr>
        <w:pStyle w:val="NormalWeb"/>
        <w:spacing w:before="0" w:after="0"/>
        <w:ind w:firstLine="709"/>
        <w:jc w:val="both"/>
        <w:rPr>
          <w:sz w:val="22"/>
          <w:szCs w:val="22"/>
        </w:rPr>
      </w:pPr>
      <w:r w:rsidRPr="00C17B5E">
        <w:rPr>
          <w:sz w:val="22"/>
          <w:szCs w:val="22"/>
        </w:rPr>
        <w:t>9.1. Perkančioji organizacija neįsipareigoja išpirkti viso prekių kiekio.</w:t>
      </w:r>
    </w:p>
    <w:p w14:paraId="4042AE0C" w14:textId="77777777" w:rsidR="00C17B5E" w:rsidRPr="00C17B5E" w:rsidRDefault="00C17B5E" w:rsidP="00C17B5E">
      <w:pPr>
        <w:ind w:firstLine="709"/>
        <w:rPr>
          <w:color w:val="000000"/>
          <w:sz w:val="22"/>
          <w:szCs w:val="22"/>
        </w:rPr>
      </w:pPr>
      <w:r w:rsidRPr="00C17B5E">
        <w:rPr>
          <w:sz w:val="22"/>
          <w:szCs w:val="22"/>
        </w:rPr>
        <w:t xml:space="preserve">9.2. Perkančioji organizacija gali padidinti kiekvienos pirkimo dalies (pozicijos) perkamą kiekį, nurodytą sutarties priede. </w:t>
      </w:r>
      <w:r w:rsidRPr="00C17B5E">
        <w:rPr>
          <w:b/>
          <w:sz w:val="22"/>
          <w:szCs w:val="22"/>
        </w:rPr>
        <w:t xml:space="preserve">Perkančiosios organizacijos poreikio kiekis gali būti viršytas ne daugiau kaip 50 proc. kiekvienos pozicijos. </w:t>
      </w:r>
      <w:r w:rsidRPr="00C17B5E">
        <w:rPr>
          <w:sz w:val="22"/>
          <w:szCs w:val="22"/>
        </w:rPr>
        <w:t xml:space="preserve"> </w:t>
      </w:r>
      <w:r w:rsidRPr="00C17B5E">
        <w:rPr>
          <w:b/>
          <w:sz w:val="22"/>
          <w:szCs w:val="22"/>
        </w:rPr>
        <w:t xml:space="preserve">Galutinė sutarties kaina, kurią perkančioji organizacija turės sumokėti tiekėjui, priklauso nuo vykdant sutartį parduotų prekių kiekio (apimties). </w:t>
      </w:r>
    </w:p>
    <w:p w14:paraId="591BEBEF" w14:textId="77777777" w:rsidR="00C17B5E" w:rsidRPr="00C17B5E" w:rsidRDefault="00C17B5E" w:rsidP="00C17B5E">
      <w:pPr>
        <w:pStyle w:val="NormalWeb"/>
        <w:spacing w:before="0" w:after="0"/>
        <w:ind w:firstLine="709"/>
        <w:jc w:val="both"/>
        <w:rPr>
          <w:sz w:val="22"/>
          <w:szCs w:val="22"/>
        </w:rPr>
      </w:pPr>
      <w:r w:rsidRPr="00C17B5E">
        <w:rPr>
          <w:sz w:val="22"/>
          <w:szCs w:val="22"/>
        </w:rPr>
        <w:t>9.3. Jei Tiekėjas negali pateikti atitinkamo prekės ženklo, gamintojo ar panašiai, prekės, nurodytos pirkimo sutartyje, Tiekėjas, iš anksto, gavęs rašytinį Pirkėjo sutikimą, turi teisę vietoje šios prekės pristatyti kito prekės ženklo, gamintojo ar panašiai, prekę, su sąlyga, kad pasiūlyta prekė yra tokių pačių charakteristikų, kaip konkrečiai numatyta sutartyje, o kaina yra ne didesnė, nei tos prekės, kuri nurodyta sutartyje.</w:t>
      </w:r>
    </w:p>
    <w:p w14:paraId="1F37070B" w14:textId="77777777" w:rsidR="00C17B5E" w:rsidRPr="00C17B5E" w:rsidRDefault="00C17B5E" w:rsidP="00C17B5E">
      <w:pPr>
        <w:pStyle w:val="NormalWeb"/>
        <w:spacing w:before="0" w:after="0"/>
        <w:ind w:firstLine="709"/>
        <w:jc w:val="both"/>
        <w:rPr>
          <w:sz w:val="22"/>
          <w:szCs w:val="22"/>
        </w:rPr>
      </w:pPr>
      <w:r w:rsidRPr="00C17B5E">
        <w:rPr>
          <w:sz w:val="22"/>
          <w:szCs w:val="22"/>
        </w:rPr>
        <w:t>9.4. Tiekėjas įsipareigoja išrašomoje sąskaitoje faktūroje vartoti tuos pačius prekių pavadinimus ir mato vnt. kokie yra pridedamoje specifikacijoje. Taip pat ant sąskaitos faktūros užrašyti sutarties numerį ir datą, pagal kurią parduodamos prekės.</w:t>
      </w:r>
    </w:p>
    <w:p w14:paraId="1D15F4F5" w14:textId="77777777" w:rsidR="00C17B5E" w:rsidRPr="00C17B5E" w:rsidRDefault="00C17B5E" w:rsidP="00C17B5E">
      <w:pPr>
        <w:pStyle w:val="NormalWeb"/>
        <w:spacing w:before="0" w:after="0"/>
        <w:ind w:firstLine="709"/>
        <w:jc w:val="both"/>
        <w:rPr>
          <w:sz w:val="22"/>
          <w:szCs w:val="22"/>
        </w:rPr>
      </w:pPr>
      <w:r w:rsidRPr="00C17B5E">
        <w:rPr>
          <w:sz w:val="22"/>
          <w:szCs w:val="22"/>
        </w:rPr>
        <w:t>9.5. Nei viena iš Šalių neturi teisės perduoti trečiajai šaliai teisių ir įsipareigojimų pagal šią sutartį.</w:t>
      </w:r>
    </w:p>
    <w:p w14:paraId="6E632B2D" w14:textId="77777777" w:rsidR="00C17B5E" w:rsidRPr="00C17B5E" w:rsidRDefault="00C17B5E" w:rsidP="00C17B5E">
      <w:pPr>
        <w:pStyle w:val="NormalWeb"/>
        <w:spacing w:before="0" w:after="0"/>
        <w:ind w:firstLine="709"/>
        <w:jc w:val="both"/>
        <w:rPr>
          <w:sz w:val="22"/>
          <w:szCs w:val="22"/>
        </w:rPr>
      </w:pPr>
      <w:r w:rsidRPr="00C17B5E">
        <w:rPr>
          <w:sz w:val="22"/>
          <w:szCs w:val="22"/>
        </w:rPr>
        <w:t>9.6. Draudžiama didinti tiekiamų prekių kainą per visą pirkimo sutarties galiojimo laikotarpį, išskyrus 2.4. punkte numatytus atvejus, bei tokias pirkimo sutarties sąlygas, kurias pakeitus nebūtų pažeisti Viešųjų pirkimo įstatymo 17 straipsnyje nustatyti principai ir tikslai .</w:t>
      </w:r>
    </w:p>
    <w:p w14:paraId="6D7C44D2" w14:textId="77777777" w:rsidR="00C17B5E" w:rsidRPr="00C17B5E" w:rsidRDefault="00C17B5E" w:rsidP="00C17B5E">
      <w:pPr>
        <w:pStyle w:val="NormalWeb"/>
        <w:spacing w:before="0" w:after="0"/>
        <w:ind w:firstLine="709"/>
        <w:jc w:val="both"/>
        <w:rPr>
          <w:sz w:val="22"/>
          <w:szCs w:val="22"/>
        </w:rPr>
      </w:pPr>
      <w:r w:rsidRPr="00C17B5E">
        <w:rPr>
          <w:sz w:val="22"/>
          <w:szCs w:val="22"/>
        </w:rPr>
        <w:t>9.7. Sutartis sudaryta dviem egzemplioriais, po vieną šalims, lietuvių kalba. Abu egzemplioriai turi vienodą juridinę galią.</w:t>
      </w:r>
    </w:p>
    <w:p w14:paraId="536926A5" w14:textId="77777777" w:rsidR="00C17B5E" w:rsidRPr="00C17B5E" w:rsidRDefault="00C17B5E" w:rsidP="00C17B5E">
      <w:pPr>
        <w:rPr>
          <w:bCs/>
          <w:sz w:val="22"/>
          <w:szCs w:val="22"/>
        </w:rPr>
      </w:pPr>
      <w:r w:rsidRPr="00C17B5E">
        <w:rPr>
          <w:sz w:val="22"/>
          <w:szCs w:val="22"/>
        </w:rPr>
        <w:t>PRIDEDAMA</w:t>
      </w:r>
      <w:r w:rsidRPr="00C17B5E">
        <w:rPr>
          <w:bCs/>
          <w:sz w:val="22"/>
          <w:szCs w:val="22"/>
        </w:rPr>
        <w:t>: Specifikacija (priedas prie sutarties).</w:t>
      </w:r>
    </w:p>
    <w:p w14:paraId="03FC799D" w14:textId="77777777" w:rsidR="00C17B5E" w:rsidRPr="00C17B5E" w:rsidRDefault="00C17B5E" w:rsidP="00C17B5E">
      <w:pPr>
        <w:rPr>
          <w:b/>
          <w:sz w:val="22"/>
          <w:szCs w:val="22"/>
        </w:rPr>
      </w:pPr>
      <w:r w:rsidRPr="00C17B5E">
        <w:rPr>
          <w:b/>
          <w:sz w:val="22"/>
          <w:szCs w:val="22"/>
        </w:rPr>
        <w:t xml:space="preserve">JURIDINIAI ŠALIŲ ADRESAI: </w:t>
      </w:r>
    </w:p>
    <w:tbl>
      <w:tblPr>
        <w:tblW w:w="9900" w:type="dxa"/>
        <w:tblInd w:w="270" w:type="dxa"/>
        <w:tblLayout w:type="fixed"/>
        <w:tblLook w:val="0000" w:firstRow="0" w:lastRow="0" w:firstColumn="0" w:lastColumn="0" w:noHBand="0" w:noVBand="0"/>
      </w:tblPr>
      <w:tblGrid>
        <w:gridCol w:w="5220"/>
        <w:gridCol w:w="4680"/>
      </w:tblGrid>
      <w:tr w:rsidR="00C17B5E" w:rsidRPr="00C17B5E" w14:paraId="195B9A93" w14:textId="77777777" w:rsidTr="003C3BD0">
        <w:trPr>
          <w:trHeight w:val="80"/>
        </w:trPr>
        <w:tc>
          <w:tcPr>
            <w:tcW w:w="5220" w:type="dxa"/>
          </w:tcPr>
          <w:p w14:paraId="07D21E35" w14:textId="77777777" w:rsidR="00C17B5E" w:rsidRPr="00C17B5E" w:rsidRDefault="00C17B5E" w:rsidP="007866F5">
            <w:pPr>
              <w:rPr>
                <w:b/>
                <w:bCs/>
                <w:sz w:val="22"/>
                <w:szCs w:val="22"/>
                <w:u w:val="single"/>
              </w:rPr>
            </w:pPr>
            <w:r w:rsidRPr="00C17B5E">
              <w:rPr>
                <w:b/>
                <w:bCs/>
                <w:sz w:val="22"/>
                <w:szCs w:val="22"/>
                <w:u w:val="single"/>
              </w:rPr>
              <w:t>Pirkėjas</w:t>
            </w:r>
          </w:p>
          <w:p w14:paraId="22DD8423" w14:textId="77777777" w:rsidR="00C17B5E" w:rsidRPr="00C17B5E" w:rsidRDefault="00C17B5E" w:rsidP="007866F5">
            <w:pPr>
              <w:rPr>
                <w:b/>
                <w:sz w:val="22"/>
                <w:szCs w:val="22"/>
              </w:rPr>
            </w:pPr>
            <w:r w:rsidRPr="00C17B5E">
              <w:rPr>
                <w:b/>
                <w:sz w:val="22"/>
                <w:szCs w:val="22"/>
              </w:rPr>
              <w:t>Viešoji įstaiga Utenos ligoninė</w:t>
            </w:r>
          </w:p>
          <w:p w14:paraId="272304FD" w14:textId="77777777" w:rsidR="00C17B5E" w:rsidRPr="00C17B5E" w:rsidRDefault="00C17B5E" w:rsidP="007866F5">
            <w:pPr>
              <w:rPr>
                <w:sz w:val="22"/>
                <w:szCs w:val="22"/>
              </w:rPr>
            </w:pPr>
            <w:r w:rsidRPr="00C17B5E">
              <w:rPr>
                <w:sz w:val="22"/>
                <w:szCs w:val="22"/>
              </w:rPr>
              <w:t xml:space="preserve">Aukštakalnio g. 3, LT-28151 Utena </w:t>
            </w:r>
          </w:p>
          <w:p w14:paraId="05832253" w14:textId="77777777" w:rsidR="00C17B5E" w:rsidRPr="00C17B5E" w:rsidRDefault="00C17B5E" w:rsidP="007866F5">
            <w:pPr>
              <w:rPr>
                <w:sz w:val="22"/>
                <w:szCs w:val="22"/>
              </w:rPr>
            </w:pPr>
            <w:r w:rsidRPr="00C17B5E">
              <w:rPr>
                <w:sz w:val="22"/>
                <w:szCs w:val="22"/>
              </w:rPr>
              <w:t xml:space="preserve">Įmonės kodas 183854143 </w:t>
            </w:r>
          </w:p>
          <w:p w14:paraId="12C8776A" w14:textId="77777777" w:rsidR="00C17B5E" w:rsidRPr="00C17B5E" w:rsidRDefault="00C17B5E" w:rsidP="007866F5">
            <w:pPr>
              <w:rPr>
                <w:sz w:val="22"/>
                <w:szCs w:val="22"/>
              </w:rPr>
            </w:pPr>
            <w:r w:rsidRPr="00C17B5E">
              <w:rPr>
                <w:sz w:val="22"/>
                <w:szCs w:val="22"/>
              </w:rPr>
              <w:t xml:space="preserve">PVM kodas </w:t>
            </w:r>
            <w:r w:rsidRPr="00C17B5E">
              <w:rPr>
                <w:i/>
                <w:sz w:val="22"/>
                <w:szCs w:val="22"/>
              </w:rPr>
              <w:t>(įstaiga nėra PVM mokėtoja)</w:t>
            </w:r>
          </w:p>
          <w:p w14:paraId="2F99C5E5" w14:textId="77777777" w:rsidR="00C17B5E" w:rsidRPr="00C17B5E" w:rsidRDefault="00C17B5E" w:rsidP="007866F5">
            <w:pPr>
              <w:rPr>
                <w:sz w:val="22"/>
                <w:szCs w:val="22"/>
              </w:rPr>
            </w:pPr>
            <w:r w:rsidRPr="00C17B5E">
              <w:rPr>
                <w:sz w:val="22"/>
                <w:szCs w:val="22"/>
              </w:rPr>
              <w:t>A/s LT 04 7044 0600 0251 6012</w:t>
            </w:r>
          </w:p>
          <w:p w14:paraId="3949B85C" w14:textId="77777777" w:rsidR="00C17B5E" w:rsidRPr="00C17B5E" w:rsidRDefault="00C17B5E" w:rsidP="007866F5">
            <w:pPr>
              <w:rPr>
                <w:sz w:val="22"/>
                <w:szCs w:val="22"/>
              </w:rPr>
            </w:pPr>
            <w:r w:rsidRPr="00C17B5E">
              <w:rPr>
                <w:sz w:val="22"/>
                <w:szCs w:val="22"/>
              </w:rPr>
              <w:t>AB SEB bankas</w:t>
            </w:r>
          </w:p>
          <w:p w14:paraId="5C3276EA" w14:textId="77777777" w:rsidR="00C17B5E" w:rsidRPr="00C17B5E" w:rsidRDefault="00C17B5E" w:rsidP="007866F5">
            <w:pPr>
              <w:rPr>
                <w:sz w:val="22"/>
                <w:szCs w:val="22"/>
              </w:rPr>
            </w:pPr>
            <w:r w:rsidRPr="00C17B5E">
              <w:rPr>
                <w:sz w:val="22"/>
                <w:szCs w:val="22"/>
              </w:rPr>
              <w:t>Banko kodas 70440</w:t>
            </w:r>
          </w:p>
          <w:p w14:paraId="1708D284" w14:textId="77777777" w:rsidR="00C17B5E" w:rsidRPr="00C17B5E" w:rsidRDefault="00C17B5E" w:rsidP="007866F5">
            <w:pPr>
              <w:rPr>
                <w:sz w:val="22"/>
                <w:szCs w:val="22"/>
              </w:rPr>
            </w:pPr>
            <w:r w:rsidRPr="00C17B5E">
              <w:rPr>
                <w:sz w:val="22"/>
                <w:szCs w:val="22"/>
              </w:rPr>
              <w:t>Tel./faksas 8~389 63820</w:t>
            </w:r>
          </w:p>
          <w:p w14:paraId="4880CDD2" w14:textId="77777777" w:rsidR="00C17B5E" w:rsidRPr="00C17B5E" w:rsidRDefault="00C17B5E" w:rsidP="007866F5">
            <w:pPr>
              <w:rPr>
                <w:sz w:val="22"/>
                <w:szCs w:val="22"/>
              </w:rPr>
            </w:pPr>
            <w:r w:rsidRPr="00C17B5E">
              <w:rPr>
                <w:sz w:val="22"/>
                <w:szCs w:val="22"/>
              </w:rPr>
              <w:t xml:space="preserve">e. p. </w:t>
            </w:r>
            <w:hyperlink r:id="rId7" w:history="1">
              <w:r w:rsidRPr="00C17B5E">
                <w:rPr>
                  <w:rStyle w:val="Hyperlink"/>
                  <w:sz w:val="22"/>
                  <w:szCs w:val="22"/>
                </w:rPr>
                <w:t>info@utenosligonine.lt</w:t>
              </w:r>
            </w:hyperlink>
          </w:p>
          <w:p w14:paraId="1064D027" w14:textId="77777777" w:rsidR="00C17B5E" w:rsidRPr="00C17B5E" w:rsidRDefault="00C17B5E" w:rsidP="007866F5">
            <w:pPr>
              <w:rPr>
                <w:sz w:val="22"/>
                <w:szCs w:val="22"/>
              </w:rPr>
            </w:pPr>
            <w:r w:rsidRPr="00C17B5E">
              <w:rPr>
                <w:sz w:val="22"/>
                <w:szCs w:val="22"/>
              </w:rPr>
              <w:t xml:space="preserve">Direktorius                   </w:t>
            </w:r>
          </w:p>
          <w:p w14:paraId="06921A00" w14:textId="77777777" w:rsidR="00C17B5E" w:rsidRPr="00C17B5E" w:rsidRDefault="00C17B5E" w:rsidP="007866F5">
            <w:pPr>
              <w:rPr>
                <w:sz w:val="22"/>
                <w:szCs w:val="22"/>
              </w:rPr>
            </w:pPr>
            <w:r w:rsidRPr="00C17B5E">
              <w:rPr>
                <w:sz w:val="22"/>
                <w:szCs w:val="22"/>
              </w:rPr>
              <w:t>_____________________</w:t>
            </w:r>
          </w:p>
          <w:p w14:paraId="0DB62179" w14:textId="64A474F0" w:rsidR="00BD1A8F" w:rsidRDefault="00C17B5E" w:rsidP="007866F5">
            <w:pPr>
              <w:rPr>
                <w:sz w:val="22"/>
                <w:szCs w:val="22"/>
              </w:rPr>
            </w:pPr>
            <w:r w:rsidRPr="00C17B5E">
              <w:rPr>
                <w:sz w:val="22"/>
                <w:szCs w:val="22"/>
              </w:rPr>
              <w:t>Dalius Drung</w:t>
            </w:r>
            <w:r w:rsidR="003C3BD0">
              <w:rPr>
                <w:sz w:val="22"/>
                <w:szCs w:val="22"/>
              </w:rPr>
              <w:t>a</w:t>
            </w:r>
          </w:p>
          <w:p w14:paraId="6376B08B" w14:textId="77777777" w:rsidR="00BD1A8F" w:rsidRDefault="00BD1A8F" w:rsidP="007866F5">
            <w:pPr>
              <w:rPr>
                <w:sz w:val="22"/>
                <w:szCs w:val="22"/>
              </w:rPr>
            </w:pPr>
          </w:p>
          <w:p w14:paraId="249B4438" w14:textId="712CAD49" w:rsidR="00C17B5E" w:rsidRPr="00C17B5E" w:rsidRDefault="00C17B5E" w:rsidP="007866F5">
            <w:pPr>
              <w:rPr>
                <w:sz w:val="22"/>
                <w:szCs w:val="22"/>
              </w:rPr>
            </w:pPr>
          </w:p>
        </w:tc>
        <w:tc>
          <w:tcPr>
            <w:tcW w:w="4680" w:type="dxa"/>
          </w:tcPr>
          <w:p w14:paraId="7394EF08" w14:textId="77777777" w:rsidR="00C17B5E" w:rsidRPr="00C17B5E" w:rsidRDefault="00C17B5E" w:rsidP="007866F5">
            <w:pPr>
              <w:rPr>
                <w:b/>
                <w:bCs/>
                <w:sz w:val="22"/>
                <w:szCs w:val="22"/>
                <w:u w:val="single"/>
              </w:rPr>
            </w:pPr>
            <w:r w:rsidRPr="00C17B5E">
              <w:rPr>
                <w:b/>
                <w:bCs/>
                <w:sz w:val="22"/>
                <w:szCs w:val="22"/>
                <w:u w:val="single"/>
              </w:rPr>
              <w:t>Tiekėjas</w:t>
            </w:r>
          </w:p>
          <w:p w14:paraId="33A30C2E" w14:textId="77777777" w:rsidR="00C17B5E" w:rsidRPr="00C17B5E" w:rsidRDefault="00C17B5E" w:rsidP="007866F5">
            <w:pPr>
              <w:rPr>
                <w:sz w:val="22"/>
                <w:szCs w:val="22"/>
              </w:rPr>
            </w:pPr>
          </w:p>
          <w:p w14:paraId="1117075F" w14:textId="77777777" w:rsidR="00C17B5E" w:rsidRPr="00C17B5E" w:rsidRDefault="00C17B5E" w:rsidP="007866F5">
            <w:pPr>
              <w:rPr>
                <w:sz w:val="22"/>
                <w:szCs w:val="22"/>
              </w:rPr>
            </w:pPr>
          </w:p>
          <w:p w14:paraId="3B828601" w14:textId="77777777" w:rsidR="00C17B5E" w:rsidRPr="00C17B5E" w:rsidRDefault="00C17B5E" w:rsidP="007866F5">
            <w:pPr>
              <w:rPr>
                <w:sz w:val="22"/>
                <w:szCs w:val="22"/>
              </w:rPr>
            </w:pPr>
          </w:p>
        </w:tc>
      </w:tr>
    </w:tbl>
    <w:p w14:paraId="19D22D7E" w14:textId="1903AFB2" w:rsidR="00C17B5E" w:rsidRPr="00C17B5E" w:rsidRDefault="00C17B5E" w:rsidP="00C17B5E">
      <w:pPr>
        <w:widowControl w:val="0"/>
        <w:spacing w:line="360" w:lineRule="auto"/>
        <w:jc w:val="right"/>
        <w:rPr>
          <w:sz w:val="22"/>
          <w:szCs w:val="22"/>
        </w:rPr>
      </w:pPr>
      <w:r w:rsidRPr="00C17B5E">
        <w:rPr>
          <w:sz w:val="22"/>
          <w:szCs w:val="22"/>
        </w:rPr>
        <w:t>Priedas prie Sutarties Nr. ____________</w:t>
      </w:r>
    </w:p>
    <w:p w14:paraId="2F28087A" w14:textId="77777777" w:rsidR="00C17B5E" w:rsidRPr="00C17B5E" w:rsidRDefault="00C17B5E" w:rsidP="00C17B5E">
      <w:pPr>
        <w:pStyle w:val="Heading1"/>
        <w:keepNext w:val="0"/>
        <w:widowControl w:val="0"/>
        <w:spacing w:line="360" w:lineRule="auto"/>
        <w:jc w:val="center"/>
        <w:rPr>
          <w:rFonts w:ascii="Times New Roman" w:hAnsi="Times New Roman" w:cs="Times New Roman"/>
          <w:b/>
          <w:bCs/>
          <w:color w:val="auto"/>
          <w:sz w:val="22"/>
          <w:szCs w:val="22"/>
        </w:rPr>
      </w:pPr>
      <w:r w:rsidRPr="00C17B5E">
        <w:rPr>
          <w:rFonts w:ascii="Times New Roman" w:hAnsi="Times New Roman" w:cs="Times New Roman"/>
          <w:b/>
          <w:bCs/>
          <w:color w:val="auto"/>
          <w:sz w:val="22"/>
          <w:szCs w:val="22"/>
        </w:rPr>
        <w:t>SPECIFIKACIJA</w:t>
      </w:r>
    </w:p>
    <w:p w14:paraId="2DD9F1A9" w14:textId="77777777" w:rsidR="00C17B5E" w:rsidRPr="00C17B5E" w:rsidRDefault="00C17B5E" w:rsidP="00C17B5E">
      <w:pPr>
        <w:jc w:val="center"/>
        <w:rPr>
          <w:sz w:val="22"/>
          <w:szCs w:val="22"/>
        </w:rPr>
      </w:pPr>
    </w:p>
    <w:p w14:paraId="1D18A2DC" w14:textId="77777777" w:rsidR="00C17B5E" w:rsidRPr="00C17B5E" w:rsidRDefault="00C17B5E" w:rsidP="00C17B5E">
      <w:pPr>
        <w:rPr>
          <w:sz w:val="22"/>
          <w:szCs w:val="22"/>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2268"/>
        <w:gridCol w:w="851"/>
        <w:gridCol w:w="1417"/>
        <w:gridCol w:w="1276"/>
        <w:gridCol w:w="1106"/>
        <w:gridCol w:w="1170"/>
        <w:gridCol w:w="1170"/>
      </w:tblGrid>
      <w:tr w:rsidR="00C17B5E" w:rsidRPr="00C17B5E" w14:paraId="1BDEE230" w14:textId="77777777" w:rsidTr="007866F5">
        <w:tc>
          <w:tcPr>
            <w:tcW w:w="1002" w:type="dxa"/>
          </w:tcPr>
          <w:p w14:paraId="552C89D1" w14:textId="77777777" w:rsidR="00C17B5E" w:rsidRPr="00C17B5E" w:rsidRDefault="00C17B5E" w:rsidP="007866F5">
            <w:pPr>
              <w:widowControl w:val="0"/>
              <w:jc w:val="center"/>
              <w:rPr>
                <w:sz w:val="22"/>
                <w:szCs w:val="22"/>
              </w:rPr>
            </w:pPr>
            <w:r w:rsidRPr="00C17B5E">
              <w:rPr>
                <w:sz w:val="22"/>
                <w:szCs w:val="22"/>
              </w:rPr>
              <w:t>Pirkimo dalies Nr.</w:t>
            </w:r>
          </w:p>
        </w:tc>
        <w:tc>
          <w:tcPr>
            <w:tcW w:w="2268" w:type="dxa"/>
          </w:tcPr>
          <w:p w14:paraId="28B00419" w14:textId="77777777" w:rsidR="00C17B5E" w:rsidRPr="00C17B5E" w:rsidRDefault="00C17B5E" w:rsidP="007866F5">
            <w:pPr>
              <w:widowControl w:val="0"/>
              <w:jc w:val="center"/>
              <w:rPr>
                <w:sz w:val="22"/>
                <w:szCs w:val="22"/>
              </w:rPr>
            </w:pPr>
            <w:r w:rsidRPr="00C17B5E">
              <w:rPr>
                <w:iCs/>
                <w:sz w:val="22"/>
                <w:szCs w:val="22"/>
              </w:rPr>
              <w:t xml:space="preserve">Prekės </w:t>
            </w:r>
            <w:r w:rsidRPr="00C17B5E">
              <w:rPr>
                <w:sz w:val="22"/>
                <w:szCs w:val="22"/>
              </w:rPr>
              <w:t xml:space="preserve"> pavadinimas</w:t>
            </w:r>
          </w:p>
        </w:tc>
        <w:tc>
          <w:tcPr>
            <w:tcW w:w="851" w:type="dxa"/>
          </w:tcPr>
          <w:p w14:paraId="0399FF83" w14:textId="77777777" w:rsidR="00C17B5E" w:rsidRPr="00C17B5E" w:rsidRDefault="00C17B5E" w:rsidP="007866F5">
            <w:pPr>
              <w:widowControl w:val="0"/>
              <w:jc w:val="center"/>
              <w:rPr>
                <w:sz w:val="22"/>
                <w:szCs w:val="22"/>
              </w:rPr>
            </w:pPr>
            <w:r w:rsidRPr="00C17B5E">
              <w:rPr>
                <w:sz w:val="22"/>
                <w:szCs w:val="22"/>
              </w:rPr>
              <w:t>Mato vnt.</w:t>
            </w:r>
          </w:p>
        </w:tc>
        <w:tc>
          <w:tcPr>
            <w:tcW w:w="1417" w:type="dxa"/>
          </w:tcPr>
          <w:p w14:paraId="45EC028E" w14:textId="77777777" w:rsidR="00C17B5E" w:rsidRPr="00C17B5E" w:rsidRDefault="00C17B5E" w:rsidP="007866F5">
            <w:pPr>
              <w:widowControl w:val="0"/>
              <w:jc w:val="center"/>
              <w:rPr>
                <w:sz w:val="22"/>
                <w:szCs w:val="22"/>
              </w:rPr>
            </w:pPr>
            <w:r w:rsidRPr="00C17B5E">
              <w:rPr>
                <w:sz w:val="22"/>
                <w:szCs w:val="22"/>
              </w:rPr>
              <w:t>Orientacinis</w:t>
            </w:r>
          </w:p>
          <w:p w14:paraId="0A2AE3BF" w14:textId="77777777" w:rsidR="00C17B5E" w:rsidRPr="00C17B5E" w:rsidRDefault="00C17B5E" w:rsidP="007866F5">
            <w:pPr>
              <w:widowControl w:val="0"/>
              <w:jc w:val="center"/>
              <w:rPr>
                <w:sz w:val="22"/>
                <w:szCs w:val="22"/>
              </w:rPr>
            </w:pPr>
            <w:r w:rsidRPr="00C17B5E">
              <w:rPr>
                <w:sz w:val="22"/>
                <w:szCs w:val="22"/>
              </w:rPr>
              <w:t>kiekis</w:t>
            </w:r>
          </w:p>
          <w:p w14:paraId="2A6FC7EA" w14:textId="77777777" w:rsidR="00C17B5E" w:rsidRPr="00C17B5E" w:rsidRDefault="00C17B5E" w:rsidP="007866F5">
            <w:pPr>
              <w:widowControl w:val="0"/>
              <w:jc w:val="center"/>
              <w:rPr>
                <w:sz w:val="22"/>
                <w:szCs w:val="22"/>
              </w:rPr>
            </w:pPr>
            <w:r w:rsidRPr="00C17B5E">
              <w:rPr>
                <w:sz w:val="22"/>
                <w:szCs w:val="22"/>
              </w:rPr>
              <w:t>12 mėn.</w:t>
            </w:r>
          </w:p>
        </w:tc>
        <w:tc>
          <w:tcPr>
            <w:tcW w:w="1276" w:type="dxa"/>
          </w:tcPr>
          <w:p w14:paraId="1D553852" w14:textId="77777777" w:rsidR="00C17B5E" w:rsidRPr="00C17B5E" w:rsidRDefault="00C17B5E" w:rsidP="007866F5">
            <w:pPr>
              <w:widowControl w:val="0"/>
              <w:jc w:val="center"/>
              <w:rPr>
                <w:sz w:val="22"/>
                <w:szCs w:val="22"/>
              </w:rPr>
            </w:pPr>
            <w:r w:rsidRPr="00C17B5E">
              <w:rPr>
                <w:sz w:val="22"/>
                <w:szCs w:val="22"/>
              </w:rPr>
              <w:t>Vnt. kaina,</w:t>
            </w:r>
          </w:p>
          <w:p w14:paraId="695E733C" w14:textId="77777777" w:rsidR="00C17B5E" w:rsidRPr="00C17B5E" w:rsidRDefault="00C17B5E" w:rsidP="007866F5">
            <w:pPr>
              <w:widowControl w:val="0"/>
              <w:jc w:val="center"/>
              <w:rPr>
                <w:sz w:val="22"/>
                <w:szCs w:val="22"/>
              </w:rPr>
            </w:pPr>
            <w:r w:rsidRPr="00C17B5E">
              <w:rPr>
                <w:sz w:val="22"/>
                <w:szCs w:val="22"/>
              </w:rPr>
              <w:t>Eur</w:t>
            </w:r>
          </w:p>
          <w:p w14:paraId="6777AFA4" w14:textId="77777777" w:rsidR="00C17B5E" w:rsidRPr="00C17B5E" w:rsidRDefault="00C17B5E" w:rsidP="007866F5">
            <w:pPr>
              <w:widowControl w:val="0"/>
              <w:jc w:val="center"/>
              <w:rPr>
                <w:sz w:val="22"/>
                <w:szCs w:val="22"/>
              </w:rPr>
            </w:pPr>
            <w:r w:rsidRPr="00C17B5E">
              <w:rPr>
                <w:sz w:val="22"/>
                <w:szCs w:val="22"/>
              </w:rPr>
              <w:t>be PVM</w:t>
            </w:r>
          </w:p>
        </w:tc>
        <w:tc>
          <w:tcPr>
            <w:tcW w:w="1106" w:type="dxa"/>
          </w:tcPr>
          <w:p w14:paraId="759A2787" w14:textId="77777777" w:rsidR="00C17B5E" w:rsidRPr="00C17B5E" w:rsidRDefault="00C17B5E" w:rsidP="007866F5">
            <w:pPr>
              <w:widowControl w:val="0"/>
              <w:jc w:val="center"/>
              <w:rPr>
                <w:sz w:val="22"/>
                <w:szCs w:val="22"/>
              </w:rPr>
            </w:pPr>
            <w:r w:rsidRPr="00C17B5E">
              <w:rPr>
                <w:sz w:val="22"/>
                <w:szCs w:val="22"/>
              </w:rPr>
              <w:t xml:space="preserve">Vnt. kaina </w:t>
            </w:r>
          </w:p>
          <w:p w14:paraId="35EB5709" w14:textId="77777777" w:rsidR="00C17B5E" w:rsidRPr="00C17B5E" w:rsidRDefault="00C17B5E" w:rsidP="007866F5">
            <w:pPr>
              <w:widowControl w:val="0"/>
              <w:jc w:val="center"/>
              <w:rPr>
                <w:sz w:val="22"/>
                <w:szCs w:val="22"/>
              </w:rPr>
            </w:pPr>
            <w:r w:rsidRPr="00C17B5E">
              <w:rPr>
                <w:sz w:val="22"/>
                <w:szCs w:val="22"/>
              </w:rPr>
              <w:t>Eur</w:t>
            </w:r>
          </w:p>
          <w:p w14:paraId="2076CAD0" w14:textId="77777777" w:rsidR="00C17B5E" w:rsidRPr="00C17B5E" w:rsidRDefault="00C17B5E" w:rsidP="007866F5">
            <w:pPr>
              <w:widowControl w:val="0"/>
              <w:jc w:val="center"/>
              <w:rPr>
                <w:sz w:val="22"/>
                <w:szCs w:val="22"/>
              </w:rPr>
            </w:pPr>
            <w:r w:rsidRPr="00C17B5E">
              <w:rPr>
                <w:sz w:val="22"/>
                <w:szCs w:val="22"/>
              </w:rPr>
              <w:t xml:space="preserve"> su PVM</w:t>
            </w:r>
          </w:p>
        </w:tc>
        <w:tc>
          <w:tcPr>
            <w:tcW w:w="1170" w:type="dxa"/>
          </w:tcPr>
          <w:p w14:paraId="084F5F8A" w14:textId="77777777" w:rsidR="00C17B5E" w:rsidRPr="00C17B5E" w:rsidRDefault="00C17B5E" w:rsidP="007866F5">
            <w:pPr>
              <w:widowControl w:val="0"/>
              <w:jc w:val="center"/>
              <w:rPr>
                <w:sz w:val="22"/>
                <w:szCs w:val="22"/>
                <w:lang w:val="pt-BR"/>
              </w:rPr>
            </w:pPr>
            <w:r w:rsidRPr="00C17B5E">
              <w:rPr>
                <w:sz w:val="22"/>
                <w:szCs w:val="22"/>
                <w:lang w:val="pt-BR"/>
              </w:rPr>
              <w:t xml:space="preserve">Bendra suma Eur </w:t>
            </w:r>
          </w:p>
          <w:p w14:paraId="6810D9AB" w14:textId="77777777" w:rsidR="00C17B5E" w:rsidRPr="00C17B5E" w:rsidRDefault="00C17B5E" w:rsidP="007866F5">
            <w:pPr>
              <w:widowControl w:val="0"/>
              <w:jc w:val="center"/>
              <w:rPr>
                <w:sz w:val="22"/>
                <w:szCs w:val="22"/>
                <w:lang w:val="pt-BR"/>
              </w:rPr>
            </w:pPr>
            <w:r w:rsidRPr="00C17B5E">
              <w:rPr>
                <w:sz w:val="22"/>
                <w:szCs w:val="22"/>
                <w:lang w:val="pt-BR"/>
              </w:rPr>
              <w:t>be PVM</w:t>
            </w:r>
          </w:p>
        </w:tc>
        <w:tc>
          <w:tcPr>
            <w:tcW w:w="1170" w:type="dxa"/>
          </w:tcPr>
          <w:p w14:paraId="697B5939" w14:textId="77777777" w:rsidR="00C17B5E" w:rsidRPr="00C17B5E" w:rsidRDefault="00C17B5E" w:rsidP="007866F5">
            <w:pPr>
              <w:widowControl w:val="0"/>
              <w:jc w:val="center"/>
              <w:rPr>
                <w:sz w:val="22"/>
                <w:szCs w:val="22"/>
                <w:lang w:val="pt-BR"/>
              </w:rPr>
            </w:pPr>
            <w:r w:rsidRPr="00C17B5E">
              <w:rPr>
                <w:sz w:val="22"/>
                <w:szCs w:val="22"/>
                <w:lang w:val="pt-BR"/>
              </w:rPr>
              <w:t>Bendra suma Eur</w:t>
            </w:r>
          </w:p>
          <w:p w14:paraId="3C1AD352" w14:textId="77777777" w:rsidR="00C17B5E" w:rsidRPr="00C17B5E" w:rsidRDefault="00C17B5E" w:rsidP="007866F5">
            <w:pPr>
              <w:widowControl w:val="0"/>
              <w:jc w:val="center"/>
              <w:rPr>
                <w:sz w:val="22"/>
                <w:szCs w:val="22"/>
                <w:lang w:val="pt-BR"/>
              </w:rPr>
            </w:pPr>
            <w:r w:rsidRPr="00C17B5E">
              <w:rPr>
                <w:sz w:val="22"/>
                <w:szCs w:val="22"/>
                <w:lang w:val="pt-BR"/>
              </w:rPr>
              <w:t>Su PVM</w:t>
            </w:r>
          </w:p>
          <w:p w14:paraId="6C29D50A" w14:textId="77777777" w:rsidR="00C17B5E" w:rsidRPr="00C17B5E" w:rsidRDefault="00C17B5E" w:rsidP="007866F5">
            <w:pPr>
              <w:widowControl w:val="0"/>
              <w:jc w:val="center"/>
              <w:rPr>
                <w:sz w:val="22"/>
                <w:szCs w:val="22"/>
                <w:lang w:val="pt-BR"/>
              </w:rPr>
            </w:pPr>
          </w:p>
        </w:tc>
      </w:tr>
      <w:tr w:rsidR="00C17B5E" w:rsidRPr="00C17B5E" w14:paraId="69DEE4AD" w14:textId="77777777" w:rsidTr="007866F5">
        <w:tc>
          <w:tcPr>
            <w:tcW w:w="1002" w:type="dxa"/>
          </w:tcPr>
          <w:p w14:paraId="50980129" w14:textId="77777777" w:rsidR="00C17B5E" w:rsidRPr="00C17B5E" w:rsidRDefault="00C17B5E" w:rsidP="007866F5">
            <w:pPr>
              <w:widowControl w:val="0"/>
              <w:spacing w:line="360" w:lineRule="auto"/>
              <w:jc w:val="center"/>
              <w:rPr>
                <w:sz w:val="22"/>
                <w:szCs w:val="22"/>
              </w:rPr>
            </w:pPr>
            <w:r w:rsidRPr="00C17B5E">
              <w:rPr>
                <w:sz w:val="22"/>
                <w:szCs w:val="22"/>
              </w:rPr>
              <w:t>1.</w:t>
            </w:r>
          </w:p>
        </w:tc>
        <w:tc>
          <w:tcPr>
            <w:tcW w:w="2268" w:type="dxa"/>
          </w:tcPr>
          <w:p w14:paraId="727164CC" w14:textId="77777777" w:rsidR="00C17B5E" w:rsidRPr="00C17B5E" w:rsidRDefault="00C17B5E" w:rsidP="007866F5">
            <w:pPr>
              <w:widowControl w:val="0"/>
              <w:spacing w:line="360" w:lineRule="auto"/>
              <w:jc w:val="center"/>
              <w:rPr>
                <w:sz w:val="22"/>
                <w:szCs w:val="22"/>
              </w:rPr>
            </w:pPr>
          </w:p>
        </w:tc>
        <w:tc>
          <w:tcPr>
            <w:tcW w:w="851" w:type="dxa"/>
          </w:tcPr>
          <w:p w14:paraId="0334DD53" w14:textId="77777777" w:rsidR="00C17B5E" w:rsidRPr="00C17B5E" w:rsidRDefault="00C17B5E" w:rsidP="007866F5">
            <w:pPr>
              <w:widowControl w:val="0"/>
              <w:spacing w:line="360" w:lineRule="auto"/>
              <w:rPr>
                <w:sz w:val="22"/>
                <w:szCs w:val="22"/>
              </w:rPr>
            </w:pPr>
          </w:p>
        </w:tc>
        <w:tc>
          <w:tcPr>
            <w:tcW w:w="1417" w:type="dxa"/>
          </w:tcPr>
          <w:p w14:paraId="1E1B6C55" w14:textId="77777777" w:rsidR="00C17B5E" w:rsidRPr="00C17B5E" w:rsidRDefault="00C17B5E" w:rsidP="007866F5">
            <w:pPr>
              <w:widowControl w:val="0"/>
              <w:spacing w:line="360" w:lineRule="auto"/>
              <w:jc w:val="center"/>
              <w:rPr>
                <w:sz w:val="22"/>
                <w:szCs w:val="22"/>
              </w:rPr>
            </w:pPr>
          </w:p>
        </w:tc>
        <w:tc>
          <w:tcPr>
            <w:tcW w:w="1276" w:type="dxa"/>
          </w:tcPr>
          <w:p w14:paraId="1D17AEAF" w14:textId="77777777" w:rsidR="00C17B5E" w:rsidRPr="00C17B5E" w:rsidRDefault="00C17B5E" w:rsidP="007866F5">
            <w:pPr>
              <w:widowControl w:val="0"/>
              <w:spacing w:line="360" w:lineRule="auto"/>
              <w:rPr>
                <w:sz w:val="22"/>
                <w:szCs w:val="22"/>
              </w:rPr>
            </w:pPr>
          </w:p>
        </w:tc>
        <w:tc>
          <w:tcPr>
            <w:tcW w:w="1106" w:type="dxa"/>
          </w:tcPr>
          <w:p w14:paraId="309523BA" w14:textId="77777777" w:rsidR="00C17B5E" w:rsidRPr="00C17B5E" w:rsidRDefault="00C17B5E" w:rsidP="007866F5">
            <w:pPr>
              <w:widowControl w:val="0"/>
              <w:spacing w:line="360" w:lineRule="auto"/>
              <w:rPr>
                <w:sz w:val="22"/>
                <w:szCs w:val="22"/>
              </w:rPr>
            </w:pPr>
          </w:p>
        </w:tc>
        <w:tc>
          <w:tcPr>
            <w:tcW w:w="1170" w:type="dxa"/>
          </w:tcPr>
          <w:p w14:paraId="64885A3B" w14:textId="77777777" w:rsidR="00C17B5E" w:rsidRPr="00C17B5E" w:rsidRDefault="00C17B5E" w:rsidP="007866F5">
            <w:pPr>
              <w:widowControl w:val="0"/>
              <w:spacing w:line="360" w:lineRule="auto"/>
              <w:rPr>
                <w:sz w:val="22"/>
                <w:szCs w:val="22"/>
              </w:rPr>
            </w:pPr>
          </w:p>
        </w:tc>
        <w:tc>
          <w:tcPr>
            <w:tcW w:w="1170" w:type="dxa"/>
          </w:tcPr>
          <w:p w14:paraId="5DFA6418" w14:textId="77777777" w:rsidR="00C17B5E" w:rsidRPr="00C17B5E" w:rsidRDefault="00C17B5E" w:rsidP="007866F5">
            <w:pPr>
              <w:widowControl w:val="0"/>
              <w:spacing w:line="360" w:lineRule="auto"/>
              <w:rPr>
                <w:sz w:val="22"/>
                <w:szCs w:val="22"/>
              </w:rPr>
            </w:pPr>
          </w:p>
        </w:tc>
      </w:tr>
      <w:tr w:rsidR="00C17B5E" w:rsidRPr="00C17B5E" w14:paraId="45F71EFC" w14:textId="77777777" w:rsidTr="007866F5">
        <w:tc>
          <w:tcPr>
            <w:tcW w:w="1002" w:type="dxa"/>
          </w:tcPr>
          <w:p w14:paraId="26F7B9A2" w14:textId="77777777" w:rsidR="00C17B5E" w:rsidRPr="00C17B5E" w:rsidRDefault="00C17B5E" w:rsidP="007866F5">
            <w:pPr>
              <w:widowControl w:val="0"/>
              <w:spacing w:line="360" w:lineRule="auto"/>
              <w:jc w:val="center"/>
              <w:rPr>
                <w:sz w:val="22"/>
                <w:szCs w:val="22"/>
              </w:rPr>
            </w:pPr>
            <w:r w:rsidRPr="00C17B5E">
              <w:rPr>
                <w:sz w:val="22"/>
                <w:szCs w:val="22"/>
              </w:rPr>
              <w:t>2.</w:t>
            </w:r>
          </w:p>
        </w:tc>
        <w:tc>
          <w:tcPr>
            <w:tcW w:w="2268" w:type="dxa"/>
          </w:tcPr>
          <w:p w14:paraId="08994E34" w14:textId="77777777" w:rsidR="00C17B5E" w:rsidRPr="00C17B5E" w:rsidRDefault="00C17B5E" w:rsidP="007866F5">
            <w:pPr>
              <w:widowControl w:val="0"/>
              <w:spacing w:line="360" w:lineRule="auto"/>
              <w:jc w:val="center"/>
              <w:rPr>
                <w:sz w:val="22"/>
                <w:szCs w:val="22"/>
              </w:rPr>
            </w:pPr>
          </w:p>
        </w:tc>
        <w:tc>
          <w:tcPr>
            <w:tcW w:w="851" w:type="dxa"/>
          </w:tcPr>
          <w:p w14:paraId="7C59C5E7" w14:textId="77777777" w:rsidR="00C17B5E" w:rsidRPr="00C17B5E" w:rsidRDefault="00C17B5E" w:rsidP="007866F5">
            <w:pPr>
              <w:widowControl w:val="0"/>
              <w:spacing w:line="360" w:lineRule="auto"/>
              <w:rPr>
                <w:sz w:val="22"/>
                <w:szCs w:val="22"/>
              </w:rPr>
            </w:pPr>
          </w:p>
        </w:tc>
        <w:tc>
          <w:tcPr>
            <w:tcW w:w="1417" w:type="dxa"/>
          </w:tcPr>
          <w:p w14:paraId="1B0A24C8" w14:textId="77777777" w:rsidR="00C17B5E" w:rsidRPr="00C17B5E" w:rsidRDefault="00C17B5E" w:rsidP="007866F5">
            <w:pPr>
              <w:widowControl w:val="0"/>
              <w:spacing w:line="360" w:lineRule="auto"/>
              <w:jc w:val="center"/>
              <w:rPr>
                <w:sz w:val="22"/>
                <w:szCs w:val="22"/>
              </w:rPr>
            </w:pPr>
          </w:p>
        </w:tc>
        <w:tc>
          <w:tcPr>
            <w:tcW w:w="1276" w:type="dxa"/>
          </w:tcPr>
          <w:p w14:paraId="6F31DBDA" w14:textId="77777777" w:rsidR="00C17B5E" w:rsidRPr="00C17B5E" w:rsidRDefault="00C17B5E" w:rsidP="007866F5">
            <w:pPr>
              <w:widowControl w:val="0"/>
              <w:spacing w:line="360" w:lineRule="auto"/>
              <w:rPr>
                <w:sz w:val="22"/>
                <w:szCs w:val="22"/>
              </w:rPr>
            </w:pPr>
          </w:p>
        </w:tc>
        <w:tc>
          <w:tcPr>
            <w:tcW w:w="1106" w:type="dxa"/>
          </w:tcPr>
          <w:p w14:paraId="66CC3A2C" w14:textId="77777777" w:rsidR="00C17B5E" w:rsidRPr="00C17B5E" w:rsidRDefault="00C17B5E" w:rsidP="007866F5">
            <w:pPr>
              <w:widowControl w:val="0"/>
              <w:spacing w:line="360" w:lineRule="auto"/>
              <w:rPr>
                <w:sz w:val="22"/>
                <w:szCs w:val="22"/>
              </w:rPr>
            </w:pPr>
          </w:p>
        </w:tc>
        <w:tc>
          <w:tcPr>
            <w:tcW w:w="1170" w:type="dxa"/>
          </w:tcPr>
          <w:p w14:paraId="43E08D1D" w14:textId="77777777" w:rsidR="00C17B5E" w:rsidRPr="00C17B5E" w:rsidRDefault="00C17B5E" w:rsidP="007866F5">
            <w:pPr>
              <w:widowControl w:val="0"/>
              <w:spacing w:line="360" w:lineRule="auto"/>
              <w:rPr>
                <w:sz w:val="22"/>
                <w:szCs w:val="22"/>
              </w:rPr>
            </w:pPr>
          </w:p>
        </w:tc>
        <w:tc>
          <w:tcPr>
            <w:tcW w:w="1170" w:type="dxa"/>
          </w:tcPr>
          <w:p w14:paraId="1892774A" w14:textId="77777777" w:rsidR="00C17B5E" w:rsidRPr="00C17B5E" w:rsidRDefault="00C17B5E" w:rsidP="007866F5">
            <w:pPr>
              <w:widowControl w:val="0"/>
              <w:spacing w:line="360" w:lineRule="auto"/>
              <w:rPr>
                <w:sz w:val="22"/>
                <w:szCs w:val="22"/>
              </w:rPr>
            </w:pPr>
          </w:p>
        </w:tc>
      </w:tr>
      <w:tr w:rsidR="00C17B5E" w:rsidRPr="00C17B5E" w14:paraId="417224B7" w14:textId="77777777" w:rsidTr="007866F5">
        <w:tc>
          <w:tcPr>
            <w:tcW w:w="10260" w:type="dxa"/>
            <w:gridSpan w:val="8"/>
          </w:tcPr>
          <w:p w14:paraId="346C7FDE" w14:textId="77777777" w:rsidR="00C17B5E" w:rsidRPr="00C17B5E" w:rsidRDefault="00C17B5E" w:rsidP="007866F5">
            <w:pPr>
              <w:widowControl w:val="0"/>
              <w:spacing w:line="360" w:lineRule="auto"/>
              <w:rPr>
                <w:sz w:val="22"/>
                <w:szCs w:val="22"/>
                <w:lang w:val="pt-BR"/>
              </w:rPr>
            </w:pPr>
            <w:r w:rsidRPr="00C17B5E">
              <w:rPr>
                <w:b/>
                <w:sz w:val="22"/>
                <w:szCs w:val="22"/>
                <w:lang w:val="pt-BR"/>
              </w:rPr>
              <w:t>Bendra sutarties  suma  su PVM (skaitmenimis ir žodžiais)</w:t>
            </w:r>
          </w:p>
        </w:tc>
      </w:tr>
    </w:tbl>
    <w:p w14:paraId="52F75BBE" w14:textId="77777777" w:rsidR="00C17B5E" w:rsidRPr="00C17B5E" w:rsidRDefault="00C17B5E" w:rsidP="00C17B5E">
      <w:pPr>
        <w:pStyle w:val="Header"/>
        <w:spacing w:line="360" w:lineRule="auto"/>
        <w:rPr>
          <w:sz w:val="22"/>
          <w:szCs w:val="22"/>
        </w:rPr>
      </w:pPr>
    </w:p>
    <w:p w14:paraId="76876B00" w14:textId="77777777" w:rsidR="00C17B5E" w:rsidRPr="00C17B5E" w:rsidRDefault="00C17B5E" w:rsidP="00C17B5E">
      <w:pPr>
        <w:widowControl w:val="0"/>
        <w:spacing w:line="360" w:lineRule="auto"/>
        <w:rPr>
          <w:sz w:val="22"/>
          <w:szCs w:val="22"/>
          <w:lang w:val="pt-BR"/>
        </w:rPr>
      </w:pPr>
    </w:p>
    <w:p w14:paraId="4420DD2E" w14:textId="77777777" w:rsidR="00C17B5E" w:rsidRPr="00C17B5E" w:rsidRDefault="00C17B5E" w:rsidP="00C17B5E">
      <w:pPr>
        <w:widowControl w:val="0"/>
        <w:spacing w:line="360" w:lineRule="auto"/>
        <w:rPr>
          <w:sz w:val="22"/>
          <w:szCs w:val="22"/>
          <w:lang w:val="pt-BR"/>
        </w:rPr>
      </w:pPr>
    </w:p>
    <w:p w14:paraId="3BD2030E" w14:textId="77777777" w:rsidR="00C17B5E" w:rsidRPr="00C17B5E" w:rsidRDefault="00C17B5E" w:rsidP="00C17B5E">
      <w:pPr>
        <w:rPr>
          <w:b/>
          <w:sz w:val="22"/>
          <w:szCs w:val="22"/>
        </w:rPr>
      </w:pPr>
      <w:r w:rsidRPr="00C17B5E">
        <w:rPr>
          <w:b/>
          <w:sz w:val="22"/>
          <w:szCs w:val="22"/>
        </w:rPr>
        <w:t>JURIDINIAI ŠALIŲ ADRESAI:</w:t>
      </w:r>
    </w:p>
    <w:p w14:paraId="02CC05A8" w14:textId="76EA8A4A" w:rsidR="00C17B5E" w:rsidRDefault="00C17B5E" w:rsidP="00C17B5E">
      <w:pPr>
        <w:rPr>
          <w:b/>
          <w:sz w:val="22"/>
          <w:szCs w:val="22"/>
        </w:rPr>
      </w:pPr>
    </w:p>
    <w:p w14:paraId="1EC83976" w14:textId="02513206" w:rsidR="003C3BD0" w:rsidRDefault="003C3BD0" w:rsidP="00C17B5E">
      <w:pPr>
        <w:rPr>
          <w:b/>
          <w:sz w:val="22"/>
          <w:szCs w:val="22"/>
        </w:rPr>
      </w:pPr>
    </w:p>
    <w:p w14:paraId="44F5FA23" w14:textId="77777777" w:rsidR="003C3BD0" w:rsidRPr="00C17B5E" w:rsidRDefault="003C3BD0" w:rsidP="003C3BD0">
      <w:pPr>
        <w:rPr>
          <w:b/>
          <w:sz w:val="22"/>
          <w:szCs w:val="22"/>
        </w:rPr>
      </w:pPr>
    </w:p>
    <w:tbl>
      <w:tblPr>
        <w:tblW w:w="9900" w:type="dxa"/>
        <w:tblInd w:w="270" w:type="dxa"/>
        <w:tblLayout w:type="fixed"/>
        <w:tblLook w:val="0000" w:firstRow="0" w:lastRow="0" w:firstColumn="0" w:lastColumn="0" w:noHBand="0" w:noVBand="0"/>
      </w:tblPr>
      <w:tblGrid>
        <w:gridCol w:w="5220"/>
        <w:gridCol w:w="4680"/>
      </w:tblGrid>
      <w:tr w:rsidR="003C3BD0" w:rsidRPr="00C17B5E" w14:paraId="41D618CF" w14:textId="77777777" w:rsidTr="007866F5">
        <w:trPr>
          <w:trHeight w:val="80"/>
        </w:trPr>
        <w:tc>
          <w:tcPr>
            <w:tcW w:w="5220" w:type="dxa"/>
          </w:tcPr>
          <w:p w14:paraId="2B89F247" w14:textId="77777777" w:rsidR="003C3BD0" w:rsidRPr="00C17B5E" w:rsidRDefault="003C3BD0" w:rsidP="007866F5">
            <w:pPr>
              <w:rPr>
                <w:b/>
                <w:bCs/>
                <w:sz w:val="22"/>
                <w:szCs w:val="22"/>
                <w:u w:val="single"/>
              </w:rPr>
            </w:pPr>
            <w:r w:rsidRPr="00C17B5E">
              <w:rPr>
                <w:b/>
                <w:bCs/>
                <w:sz w:val="22"/>
                <w:szCs w:val="22"/>
                <w:u w:val="single"/>
              </w:rPr>
              <w:t>Pirkėjas</w:t>
            </w:r>
          </w:p>
          <w:p w14:paraId="662044F0" w14:textId="77777777" w:rsidR="003C3BD0" w:rsidRPr="00C17B5E" w:rsidRDefault="003C3BD0" w:rsidP="007866F5">
            <w:pPr>
              <w:rPr>
                <w:b/>
                <w:sz w:val="22"/>
                <w:szCs w:val="22"/>
              </w:rPr>
            </w:pPr>
            <w:r w:rsidRPr="00C17B5E">
              <w:rPr>
                <w:b/>
                <w:sz w:val="22"/>
                <w:szCs w:val="22"/>
              </w:rPr>
              <w:t>Viešoji įstaiga Utenos ligoninė</w:t>
            </w:r>
          </w:p>
          <w:p w14:paraId="7F019F66" w14:textId="77777777" w:rsidR="003C3BD0" w:rsidRPr="00C17B5E" w:rsidRDefault="003C3BD0" w:rsidP="007866F5">
            <w:pPr>
              <w:rPr>
                <w:sz w:val="22"/>
                <w:szCs w:val="22"/>
              </w:rPr>
            </w:pPr>
            <w:r w:rsidRPr="00C17B5E">
              <w:rPr>
                <w:sz w:val="22"/>
                <w:szCs w:val="22"/>
              </w:rPr>
              <w:t xml:space="preserve">Aukštakalnio g. 3, LT-28151 Utena </w:t>
            </w:r>
          </w:p>
          <w:p w14:paraId="7C4D01B0" w14:textId="77777777" w:rsidR="003C3BD0" w:rsidRPr="00C17B5E" w:rsidRDefault="003C3BD0" w:rsidP="007866F5">
            <w:pPr>
              <w:rPr>
                <w:sz w:val="22"/>
                <w:szCs w:val="22"/>
              </w:rPr>
            </w:pPr>
            <w:r w:rsidRPr="00C17B5E">
              <w:rPr>
                <w:sz w:val="22"/>
                <w:szCs w:val="22"/>
              </w:rPr>
              <w:t xml:space="preserve">Įmonės kodas 183854143 </w:t>
            </w:r>
          </w:p>
          <w:p w14:paraId="3146C409" w14:textId="77777777" w:rsidR="003C3BD0" w:rsidRPr="00C17B5E" w:rsidRDefault="003C3BD0" w:rsidP="007866F5">
            <w:pPr>
              <w:rPr>
                <w:sz w:val="22"/>
                <w:szCs w:val="22"/>
              </w:rPr>
            </w:pPr>
            <w:r w:rsidRPr="00C17B5E">
              <w:rPr>
                <w:sz w:val="22"/>
                <w:szCs w:val="22"/>
              </w:rPr>
              <w:t xml:space="preserve">PVM kodas </w:t>
            </w:r>
            <w:r w:rsidRPr="00C17B5E">
              <w:rPr>
                <w:i/>
                <w:sz w:val="22"/>
                <w:szCs w:val="22"/>
              </w:rPr>
              <w:t>(įstaiga nėra PVM mokėtoja)</w:t>
            </w:r>
          </w:p>
          <w:p w14:paraId="02DB53EE" w14:textId="77777777" w:rsidR="003C3BD0" w:rsidRPr="00C17B5E" w:rsidRDefault="003C3BD0" w:rsidP="007866F5">
            <w:pPr>
              <w:rPr>
                <w:sz w:val="22"/>
                <w:szCs w:val="22"/>
              </w:rPr>
            </w:pPr>
            <w:r w:rsidRPr="00C17B5E">
              <w:rPr>
                <w:sz w:val="22"/>
                <w:szCs w:val="22"/>
              </w:rPr>
              <w:t>A/s LT 04 7044 0600 0251 6012</w:t>
            </w:r>
          </w:p>
          <w:p w14:paraId="332F8FF4" w14:textId="77777777" w:rsidR="003C3BD0" w:rsidRPr="00C17B5E" w:rsidRDefault="003C3BD0" w:rsidP="007866F5">
            <w:pPr>
              <w:rPr>
                <w:sz w:val="22"/>
                <w:szCs w:val="22"/>
              </w:rPr>
            </w:pPr>
            <w:r w:rsidRPr="00C17B5E">
              <w:rPr>
                <w:sz w:val="22"/>
                <w:szCs w:val="22"/>
              </w:rPr>
              <w:t>AB SEB bankas</w:t>
            </w:r>
          </w:p>
          <w:p w14:paraId="42B249DA" w14:textId="77777777" w:rsidR="003C3BD0" w:rsidRPr="00C17B5E" w:rsidRDefault="003C3BD0" w:rsidP="007866F5">
            <w:pPr>
              <w:rPr>
                <w:sz w:val="22"/>
                <w:szCs w:val="22"/>
              </w:rPr>
            </w:pPr>
            <w:r w:rsidRPr="00C17B5E">
              <w:rPr>
                <w:sz w:val="22"/>
                <w:szCs w:val="22"/>
              </w:rPr>
              <w:t>Banko kodas 70440</w:t>
            </w:r>
          </w:p>
          <w:p w14:paraId="4CC8023E" w14:textId="77777777" w:rsidR="003C3BD0" w:rsidRPr="00C17B5E" w:rsidRDefault="003C3BD0" w:rsidP="007866F5">
            <w:pPr>
              <w:rPr>
                <w:sz w:val="22"/>
                <w:szCs w:val="22"/>
              </w:rPr>
            </w:pPr>
            <w:r w:rsidRPr="00C17B5E">
              <w:rPr>
                <w:sz w:val="22"/>
                <w:szCs w:val="22"/>
              </w:rPr>
              <w:t>Tel./faksas 8~389 63820</w:t>
            </w:r>
          </w:p>
          <w:p w14:paraId="300ADA64" w14:textId="77777777" w:rsidR="003C3BD0" w:rsidRPr="00C17B5E" w:rsidRDefault="003C3BD0" w:rsidP="007866F5">
            <w:pPr>
              <w:rPr>
                <w:sz w:val="22"/>
                <w:szCs w:val="22"/>
              </w:rPr>
            </w:pPr>
            <w:r w:rsidRPr="00C17B5E">
              <w:rPr>
                <w:sz w:val="22"/>
                <w:szCs w:val="22"/>
              </w:rPr>
              <w:t xml:space="preserve">e. p. </w:t>
            </w:r>
            <w:hyperlink r:id="rId8" w:history="1">
              <w:r w:rsidRPr="00C17B5E">
                <w:rPr>
                  <w:rStyle w:val="Hyperlink"/>
                  <w:sz w:val="22"/>
                  <w:szCs w:val="22"/>
                </w:rPr>
                <w:t>info@utenosligonine.lt</w:t>
              </w:r>
            </w:hyperlink>
          </w:p>
          <w:p w14:paraId="2B690E50" w14:textId="77777777" w:rsidR="003C3BD0" w:rsidRPr="00C17B5E" w:rsidRDefault="003C3BD0" w:rsidP="007866F5">
            <w:pPr>
              <w:rPr>
                <w:sz w:val="22"/>
                <w:szCs w:val="22"/>
              </w:rPr>
            </w:pPr>
            <w:r w:rsidRPr="00C17B5E">
              <w:rPr>
                <w:sz w:val="22"/>
                <w:szCs w:val="22"/>
              </w:rPr>
              <w:t xml:space="preserve">Direktorius                   </w:t>
            </w:r>
          </w:p>
          <w:p w14:paraId="7856E0AF" w14:textId="77777777" w:rsidR="003C3BD0" w:rsidRPr="00C17B5E" w:rsidRDefault="003C3BD0" w:rsidP="007866F5">
            <w:pPr>
              <w:rPr>
                <w:sz w:val="22"/>
                <w:szCs w:val="22"/>
              </w:rPr>
            </w:pPr>
            <w:r w:rsidRPr="00C17B5E">
              <w:rPr>
                <w:sz w:val="22"/>
                <w:szCs w:val="22"/>
              </w:rPr>
              <w:t>_____________________</w:t>
            </w:r>
          </w:p>
          <w:p w14:paraId="37F6A0AC" w14:textId="77777777" w:rsidR="003C3BD0" w:rsidRDefault="003C3BD0" w:rsidP="007866F5">
            <w:pPr>
              <w:rPr>
                <w:sz w:val="22"/>
                <w:szCs w:val="22"/>
              </w:rPr>
            </w:pPr>
            <w:r w:rsidRPr="00C17B5E">
              <w:rPr>
                <w:sz w:val="22"/>
                <w:szCs w:val="22"/>
              </w:rPr>
              <w:t>Dalius Drung</w:t>
            </w:r>
            <w:r>
              <w:rPr>
                <w:sz w:val="22"/>
                <w:szCs w:val="22"/>
              </w:rPr>
              <w:t>a</w:t>
            </w:r>
          </w:p>
          <w:p w14:paraId="0B7EAD25" w14:textId="77777777" w:rsidR="003C3BD0" w:rsidRDefault="003C3BD0" w:rsidP="007866F5">
            <w:pPr>
              <w:rPr>
                <w:sz w:val="22"/>
                <w:szCs w:val="22"/>
              </w:rPr>
            </w:pPr>
          </w:p>
          <w:p w14:paraId="15C522EF" w14:textId="77777777" w:rsidR="003C3BD0" w:rsidRPr="00C17B5E" w:rsidRDefault="003C3BD0" w:rsidP="007866F5">
            <w:pPr>
              <w:rPr>
                <w:sz w:val="22"/>
                <w:szCs w:val="22"/>
              </w:rPr>
            </w:pPr>
          </w:p>
        </w:tc>
        <w:tc>
          <w:tcPr>
            <w:tcW w:w="4680" w:type="dxa"/>
          </w:tcPr>
          <w:p w14:paraId="46D9F108" w14:textId="77777777" w:rsidR="003C3BD0" w:rsidRPr="00C17B5E" w:rsidRDefault="003C3BD0" w:rsidP="007866F5">
            <w:pPr>
              <w:rPr>
                <w:b/>
                <w:bCs/>
                <w:sz w:val="22"/>
                <w:szCs w:val="22"/>
                <w:u w:val="single"/>
              </w:rPr>
            </w:pPr>
            <w:r w:rsidRPr="00C17B5E">
              <w:rPr>
                <w:b/>
                <w:bCs/>
                <w:sz w:val="22"/>
                <w:szCs w:val="22"/>
                <w:u w:val="single"/>
              </w:rPr>
              <w:t>Tiekėjas</w:t>
            </w:r>
          </w:p>
          <w:p w14:paraId="3200A150" w14:textId="77777777" w:rsidR="003C3BD0" w:rsidRPr="00C17B5E" w:rsidRDefault="003C3BD0" w:rsidP="007866F5">
            <w:pPr>
              <w:rPr>
                <w:sz w:val="22"/>
                <w:szCs w:val="22"/>
              </w:rPr>
            </w:pPr>
          </w:p>
          <w:p w14:paraId="5D3958FF" w14:textId="77777777" w:rsidR="003C3BD0" w:rsidRPr="00C17B5E" w:rsidRDefault="003C3BD0" w:rsidP="007866F5">
            <w:pPr>
              <w:rPr>
                <w:sz w:val="22"/>
                <w:szCs w:val="22"/>
              </w:rPr>
            </w:pPr>
          </w:p>
          <w:p w14:paraId="7C180DCB" w14:textId="77777777" w:rsidR="003C3BD0" w:rsidRPr="00C17B5E" w:rsidRDefault="003C3BD0" w:rsidP="007866F5">
            <w:pPr>
              <w:rPr>
                <w:sz w:val="22"/>
                <w:szCs w:val="22"/>
              </w:rPr>
            </w:pPr>
          </w:p>
        </w:tc>
      </w:tr>
    </w:tbl>
    <w:p w14:paraId="0397F654" w14:textId="77D1A0B8" w:rsidR="00C17B5E" w:rsidRPr="00C17B5E" w:rsidRDefault="00C17B5E" w:rsidP="003C3BD0">
      <w:pPr>
        <w:rPr>
          <w:b/>
          <w:sz w:val="22"/>
          <w:szCs w:val="22"/>
        </w:rPr>
      </w:pPr>
    </w:p>
    <w:p w14:paraId="400FB97D" w14:textId="364BD9FC" w:rsidR="00C17B5E" w:rsidRPr="00C17B5E" w:rsidRDefault="00C17B5E" w:rsidP="001102E9">
      <w:pPr>
        <w:jc w:val="right"/>
        <w:rPr>
          <w:b/>
          <w:sz w:val="22"/>
          <w:szCs w:val="22"/>
        </w:rPr>
      </w:pPr>
    </w:p>
    <w:p w14:paraId="16F66FC4" w14:textId="072A762B" w:rsidR="00C17B5E" w:rsidRPr="00C17B5E" w:rsidRDefault="00C17B5E" w:rsidP="001102E9">
      <w:pPr>
        <w:jc w:val="right"/>
        <w:rPr>
          <w:b/>
          <w:sz w:val="22"/>
          <w:szCs w:val="22"/>
        </w:rPr>
      </w:pPr>
    </w:p>
    <w:p w14:paraId="0303F96F" w14:textId="4A84D870" w:rsidR="00C17B5E" w:rsidRPr="00C17B5E" w:rsidRDefault="00C17B5E" w:rsidP="001102E9">
      <w:pPr>
        <w:jc w:val="right"/>
        <w:rPr>
          <w:b/>
          <w:sz w:val="22"/>
          <w:szCs w:val="22"/>
        </w:rPr>
      </w:pPr>
    </w:p>
    <w:p w14:paraId="6570149C" w14:textId="17D37FF0" w:rsidR="00C17B5E" w:rsidRPr="00C17B5E" w:rsidRDefault="00C17B5E" w:rsidP="001102E9">
      <w:pPr>
        <w:jc w:val="right"/>
        <w:rPr>
          <w:b/>
          <w:sz w:val="22"/>
          <w:szCs w:val="22"/>
        </w:rPr>
      </w:pPr>
    </w:p>
    <w:p w14:paraId="27DFD6CE" w14:textId="514074A7" w:rsidR="00C17B5E" w:rsidRPr="00C17B5E" w:rsidRDefault="00C17B5E" w:rsidP="001102E9">
      <w:pPr>
        <w:jc w:val="right"/>
        <w:rPr>
          <w:b/>
          <w:sz w:val="22"/>
          <w:szCs w:val="22"/>
        </w:rPr>
      </w:pPr>
    </w:p>
    <w:p w14:paraId="30C80003" w14:textId="03B548A9" w:rsidR="00C17B5E" w:rsidRPr="00C17B5E" w:rsidRDefault="00C17B5E" w:rsidP="001102E9">
      <w:pPr>
        <w:jc w:val="right"/>
        <w:rPr>
          <w:b/>
          <w:sz w:val="22"/>
          <w:szCs w:val="22"/>
        </w:rPr>
      </w:pPr>
    </w:p>
    <w:p w14:paraId="5CB13F81" w14:textId="16DE15FA" w:rsidR="00C17B5E" w:rsidRPr="00C17B5E" w:rsidRDefault="00C17B5E" w:rsidP="001102E9">
      <w:pPr>
        <w:jc w:val="right"/>
        <w:rPr>
          <w:b/>
          <w:sz w:val="22"/>
          <w:szCs w:val="22"/>
        </w:rPr>
      </w:pPr>
    </w:p>
    <w:p w14:paraId="60FDD0B0" w14:textId="043BEAF9" w:rsidR="00C17B5E" w:rsidRDefault="00C17B5E" w:rsidP="001102E9">
      <w:pPr>
        <w:jc w:val="right"/>
        <w:rPr>
          <w:b/>
          <w:sz w:val="22"/>
          <w:szCs w:val="22"/>
        </w:rPr>
      </w:pPr>
    </w:p>
    <w:p w14:paraId="09B20FAD" w14:textId="0F1022B0" w:rsidR="00C17B5E" w:rsidRDefault="00C17B5E" w:rsidP="001102E9">
      <w:pPr>
        <w:jc w:val="right"/>
        <w:rPr>
          <w:b/>
          <w:sz w:val="22"/>
          <w:szCs w:val="22"/>
        </w:rPr>
      </w:pPr>
    </w:p>
    <w:p w14:paraId="790F6E4F" w14:textId="6007CBA0" w:rsidR="00C17B5E" w:rsidRDefault="00C17B5E" w:rsidP="001102E9">
      <w:pPr>
        <w:jc w:val="right"/>
        <w:rPr>
          <w:b/>
          <w:sz w:val="22"/>
          <w:szCs w:val="22"/>
        </w:rPr>
      </w:pPr>
    </w:p>
    <w:p w14:paraId="261BADF1" w14:textId="0EECB0D9" w:rsidR="00C17B5E" w:rsidRDefault="00C17B5E" w:rsidP="001102E9">
      <w:pPr>
        <w:jc w:val="right"/>
        <w:rPr>
          <w:b/>
          <w:sz w:val="22"/>
          <w:szCs w:val="22"/>
        </w:rPr>
      </w:pPr>
    </w:p>
    <w:p w14:paraId="29493473" w14:textId="786DDB6B" w:rsidR="00C17B5E" w:rsidRDefault="00C17B5E" w:rsidP="001102E9">
      <w:pPr>
        <w:jc w:val="right"/>
        <w:rPr>
          <w:b/>
          <w:sz w:val="22"/>
          <w:szCs w:val="22"/>
        </w:rPr>
      </w:pPr>
    </w:p>
    <w:p w14:paraId="3F662321" w14:textId="4C5E8992" w:rsidR="00C17B5E" w:rsidRDefault="00C17B5E" w:rsidP="00BD1A8F">
      <w:pPr>
        <w:rPr>
          <w:b/>
          <w:sz w:val="22"/>
          <w:szCs w:val="22"/>
        </w:rPr>
      </w:pPr>
    </w:p>
    <w:p w14:paraId="61D0850C" w14:textId="178D037D" w:rsidR="00C17B5E" w:rsidRDefault="00C17B5E" w:rsidP="001102E9">
      <w:pPr>
        <w:jc w:val="right"/>
        <w:rPr>
          <w:b/>
          <w:sz w:val="22"/>
          <w:szCs w:val="22"/>
        </w:rPr>
      </w:pPr>
    </w:p>
    <w:p w14:paraId="17CB9BFE" w14:textId="792C20FB" w:rsidR="00C17B5E" w:rsidRDefault="00C17B5E" w:rsidP="001102E9">
      <w:pPr>
        <w:jc w:val="right"/>
        <w:rPr>
          <w:b/>
          <w:sz w:val="22"/>
          <w:szCs w:val="22"/>
        </w:rPr>
      </w:pPr>
    </w:p>
    <w:p w14:paraId="2CFA48DA" w14:textId="18C99CDA" w:rsidR="00C17B5E" w:rsidRDefault="00C17B5E" w:rsidP="001102E9">
      <w:pPr>
        <w:jc w:val="right"/>
        <w:rPr>
          <w:b/>
          <w:sz w:val="22"/>
          <w:szCs w:val="22"/>
        </w:rPr>
      </w:pPr>
    </w:p>
    <w:p w14:paraId="09931FE1" w14:textId="77777777" w:rsidR="00C17B5E" w:rsidRPr="00382C45" w:rsidRDefault="00C17B5E" w:rsidP="001102E9">
      <w:pPr>
        <w:jc w:val="right"/>
        <w:rPr>
          <w:b/>
          <w:sz w:val="22"/>
          <w:szCs w:val="22"/>
        </w:rPr>
      </w:pPr>
    </w:p>
    <w:p w14:paraId="040D2D04" w14:textId="77777777" w:rsidR="007724F3" w:rsidRPr="00382C45" w:rsidRDefault="007724F3" w:rsidP="007724F3">
      <w:pPr>
        <w:jc w:val="right"/>
        <w:rPr>
          <w:b/>
          <w:sz w:val="22"/>
          <w:szCs w:val="22"/>
        </w:rPr>
      </w:pPr>
    </w:p>
    <w:sectPr w:rsidR="007724F3" w:rsidRPr="00382C45" w:rsidSect="00D813A4">
      <w:headerReference w:type="default" r:id="rId9"/>
      <w:pgSz w:w="11907" w:h="16840" w:code="9"/>
      <w:pgMar w:top="432" w:right="1152" w:bottom="432" w:left="1152" w:header="562" w:footer="562"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3601F" w14:textId="77777777" w:rsidR="001C5CF9" w:rsidRDefault="001C5CF9" w:rsidP="009D7719">
      <w:r>
        <w:separator/>
      </w:r>
    </w:p>
  </w:endnote>
  <w:endnote w:type="continuationSeparator" w:id="0">
    <w:p w14:paraId="4208109F" w14:textId="77777777" w:rsidR="001C5CF9" w:rsidRDefault="001C5CF9" w:rsidP="009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E9243" w14:textId="77777777" w:rsidR="001C5CF9" w:rsidRDefault="001C5CF9" w:rsidP="009D7719">
      <w:r>
        <w:separator/>
      </w:r>
    </w:p>
  </w:footnote>
  <w:footnote w:type="continuationSeparator" w:id="0">
    <w:p w14:paraId="53AEDF8A" w14:textId="77777777" w:rsidR="001C5CF9" w:rsidRDefault="001C5CF9" w:rsidP="009D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53103"/>
      <w:docPartObj>
        <w:docPartGallery w:val="Page Numbers (Top of Page)"/>
        <w:docPartUnique/>
      </w:docPartObj>
    </w:sdtPr>
    <w:sdtEndPr/>
    <w:sdtContent>
      <w:p w14:paraId="46F70EA9" w14:textId="30263B2A" w:rsidR="003C3BD0" w:rsidRDefault="003C3BD0">
        <w:pPr>
          <w:pStyle w:val="Header"/>
          <w:jc w:val="center"/>
        </w:pPr>
        <w:r>
          <w:fldChar w:fldCharType="begin"/>
        </w:r>
        <w:r>
          <w:instrText>PAGE   \* MERGEFORMAT</w:instrText>
        </w:r>
        <w:r>
          <w:fldChar w:fldCharType="separate"/>
        </w:r>
        <w:r>
          <w:t>2</w:t>
        </w:r>
        <w:r>
          <w:fldChar w:fldCharType="end"/>
        </w:r>
      </w:p>
    </w:sdtContent>
  </w:sdt>
  <w:p w14:paraId="5ADAD327" w14:textId="77777777" w:rsidR="003C3BD0" w:rsidRDefault="003C3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C79B8"/>
    <w:multiLevelType w:val="multilevel"/>
    <w:tmpl w:val="C19E67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b w:val="0"/>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2FD008C0"/>
    <w:multiLevelType w:val="singleLevel"/>
    <w:tmpl w:val="9D46EBAC"/>
    <w:lvl w:ilvl="0">
      <w:start w:val="7"/>
      <w:numFmt w:val="bullet"/>
      <w:lvlText w:val="-"/>
      <w:lvlJc w:val="left"/>
      <w:pPr>
        <w:tabs>
          <w:tab w:val="num" w:pos="1425"/>
        </w:tabs>
        <w:ind w:left="1425" w:hanging="360"/>
      </w:pPr>
      <w:rPr>
        <w:rFonts w:hint="default"/>
      </w:rPr>
    </w:lvl>
  </w:abstractNum>
  <w:abstractNum w:abstractNumId="2" w15:restartNumberingAfterBreak="0">
    <w:nsid w:val="34612BE4"/>
    <w:multiLevelType w:val="multilevel"/>
    <w:tmpl w:val="1C5434C4"/>
    <w:lvl w:ilvl="0">
      <w:start w:val="7"/>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1069"/>
        </w:tabs>
        <w:ind w:left="1069" w:hanging="36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val="0"/>
      </w:rPr>
    </w:lvl>
    <w:lvl w:ilvl="4">
      <w:start w:val="1"/>
      <w:numFmt w:val="decimal"/>
      <w:lvlText w:val="%1.%2.%3.%4.%5."/>
      <w:lvlJc w:val="left"/>
      <w:pPr>
        <w:tabs>
          <w:tab w:val="num" w:pos="3916"/>
        </w:tabs>
        <w:ind w:left="3916" w:hanging="1080"/>
      </w:pPr>
      <w:rPr>
        <w:rFonts w:cs="Times New Roman" w:hint="default"/>
        <w:b w:val="0"/>
      </w:rPr>
    </w:lvl>
    <w:lvl w:ilvl="5">
      <w:start w:val="1"/>
      <w:numFmt w:val="decimal"/>
      <w:lvlText w:val="%1.%2.%3.%4.%5.%6."/>
      <w:lvlJc w:val="left"/>
      <w:pPr>
        <w:tabs>
          <w:tab w:val="num" w:pos="4625"/>
        </w:tabs>
        <w:ind w:left="4625" w:hanging="1080"/>
      </w:pPr>
      <w:rPr>
        <w:rFonts w:cs="Times New Roman" w:hint="default"/>
        <w:b w:val="0"/>
      </w:rPr>
    </w:lvl>
    <w:lvl w:ilvl="6">
      <w:start w:val="1"/>
      <w:numFmt w:val="decimal"/>
      <w:lvlText w:val="%1.%2.%3.%4.%5.%6.%7."/>
      <w:lvlJc w:val="left"/>
      <w:pPr>
        <w:tabs>
          <w:tab w:val="num" w:pos="5694"/>
        </w:tabs>
        <w:ind w:left="5694" w:hanging="1440"/>
      </w:pPr>
      <w:rPr>
        <w:rFonts w:cs="Times New Roman" w:hint="default"/>
        <w:b w:val="0"/>
      </w:rPr>
    </w:lvl>
    <w:lvl w:ilvl="7">
      <w:start w:val="1"/>
      <w:numFmt w:val="decimal"/>
      <w:lvlText w:val="%1.%2.%3.%4.%5.%6.%7.%8."/>
      <w:lvlJc w:val="left"/>
      <w:pPr>
        <w:tabs>
          <w:tab w:val="num" w:pos="6403"/>
        </w:tabs>
        <w:ind w:left="6403" w:hanging="1440"/>
      </w:pPr>
      <w:rPr>
        <w:rFonts w:cs="Times New Roman" w:hint="default"/>
        <w:b w:val="0"/>
      </w:rPr>
    </w:lvl>
    <w:lvl w:ilvl="8">
      <w:start w:val="1"/>
      <w:numFmt w:val="decimal"/>
      <w:lvlText w:val="%1.%2.%3.%4.%5.%6.%7.%8.%9."/>
      <w:lvlJc w:val="left"/>
      <w:pPr>
        <w:tabs>
          <w:tab w:val="num" w:pos="7472"/>
        </w:tabs>
        <w:ind w:left="7472" w:hanging="1800"/>
      </w:pPr>
      <w:rPr>
        <w:rFonts w:cs="Times New Roman" w:hint="default"/>
        <w:b w:val="0"/>
      </w:rPr>
    </w:lvl>
  </w:abstractNum>
  <w:abstractNum w:abstractNumId="3" w15:restartNumberingAfterBreak="0">
    <w:nsid w:val="78FF1A7A"/>
    <w:multiLevelType w:val="multilevel"/>
    <w:tmpl w:val="84AE71E8"/>
    <w:lvl w:ilvl="0">
      <w:start w:val="1"/>
      <w:numFmt w:val="decimal"/>
      <w:lvlText w:val="%1."/>
      <w:lvlJc w:val="left"/>
      <w:pPr>
        <w:ind w:left="644" w:hanging="360"/>
      </w:pPr>
      <w:rPr>
        <w:b/>
        <w:i w:val="0"/>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A0606A0"/>
    <w:multiLevelType w:val="multilevel"/>
    <w:tmpl w:val="94E48588"/>
    <w:lvl w:ilvl="0">
      <w:start w:val="3"/>
      <w:numFmt w:val="decimal"/>
      <w:lvlText w:val="%1."/>
      <w:lvlJc w:val="left"/>
      <w:pPr>
        <w:tabs>
          <w:tab w:val="num" w:pos="360"/>
        </w:tabs>
        <w:ind w:left="360" w:hanging="360"/>
      </w:pPr>
      <w:rPr>
        <w:rFonts w:hint="default"/>
        <w:sz w:val="24"/>
        <w:szCs w:val="24"/>
      </w:rPr>
    </w:lvl>
    <w:lvl w:ilvl="1">
      <w:start w:val="1"/>
      <w:numFmt w:val="decimal"/>
      <w:pStyle w:val="Punktai"/>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4"/>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3"/>
    <w:rsid w:val="0006577F"/>
    <w:rsid w:val="00094BDF"/>
    <w:rsid w:val="000C7814"/>
    <w:rsid w:val="001102E9"/>
    <w:rsid w:val="00121891"/>
    <w:rsid w:val="001611E9"/>
    <w:rsid w:val="00195E5D"/>
    <w:rsid w:val="001B3817"/>
    <w:rsid w:val="001C5CF9"/>
    <w:rsid w:val="001F53BC"/>
    <w:rsid w:val="0024401D"/>
    <w:rsid w:val="002745C1"/>
    <w:rsid w:val="002E3D36"/>
    <w:rsid w:val="00306BCF"/>
    <w:rsid w:val="00382C45"/>
    <w:rsid w:val="0038781C"/>
    <w:rsid w:val="003C3BD0"/>
    <w:rsid w:val="00424A25"/>
    <w:rsid w:val="004443C3"/>
    <w:rsid w:val="00490090"/>
    <w:rsid w:val="00502B3F"/>
    <w:rsid w:val="00652D9D"/>
    <w:rsid w:val="00684807"/>
    <w:rsid w:val="007724F3"/>
    <w:rsid w:val="007A4061"/>
    <w:rsid w:val="007A504D"/>
    <w:rsid w:val="0081551F"/>
    <w:rsid w:val="0083414E"/>
    <w:rsid w:val="00883F94"/>
    <w:rsid w:val="008D1280"/>
    <w:rsid w:val="008F7D46"/>
    <w:rsid w:val="008F7FA8"/>
    <w:rsid w:val="009D7719"/>
    <w:rsid w:val="009E01E3"/>
    <w:rsid w:val="009F73C6"/>
    <w:rsid w:val="00A94EAD"/>
    <w:rsid w:val="00AC66AE"/>
    <w:rsid w:val="00B67C8A"/>
    <w:rsid w:val="00BD1A8F"/>
    <w:rsid w:val="00C17B5E"/>
    <w:rsid w:val="00C603CB"/>
    <w:rsid w:val="00CF418C"/>
    <w:rsid w:val="00D31EB7"/>
    <w:rsid w:val="00D813A4"/>
    <w:rsid w:val="00D964F0"/>
    <w:rsid w:val="00DE0963"/>
    <w:rsid w:val="00E61A21"/>
    <w:rsid w:val="00E85D71"/>
    <w:rsid w:val="00EC3A05"/>
    <w:rsid w:val="00EC5025"/>
    <w:rsid w:val="00F10FF1"/>
    <w:rsid w:val="00FA5E83"/>
    <w:rsid w:val="00FF4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2A4B"/>
  <w15:docId w15:val="{2A5B924D-6BD9-443F-A5E5-6FCCA5E6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F3"/>
    <w:pPr>
      <w:spacing w:after="0" w:line="240" w:lineRule="auto"/>
    </w:pPr>
    <w:rPr>
      <w:rFonts w:ascii="Times New Roman" w:eastAsia="Times New Roman" w:hAnsi="Times New Roman" w:cs="Times New Roman"/>
      <w:sz w:val="20"/>
      <w:szCs w:val="20"/>
      <w:lang w:eastAsia="lt-LT"/>
    </w:rPr>
  </w:style>
  <w:style w:type="paragraph" w:styleId="Heading1">
    <w:name w:val="heading 1"/>
    <w:basedOn w:val="Normal"/>
    <w:next w:val="Normal"/>
    <w:link w:val="Heading1Char"/>
    <w:uiPriority w:val="9"/>
    <w:qFormat/>
    <w:rsid w:val="009F73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itle Header2"/>
    <w:basedOn w:val="Normal"/>
    <w:next w:val="Normal"/>
    <w:link w:val="Heading2Char"/>
    <w:qFormat/>
    <w:rsid w:val="007724F3"/>
    <w:pPr>
      <w:keepNext/>
      <w:ind w:firstLine="720"/>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7724F3"/>
    <w:rPr>
      <w:rFonts w:ascii="Times New Roman" w:eastAsia="Times New Roman" w:hAnsi="Times New Roman" w:cs="Times New Roman"/>
      <w:sz w:val="24"/>
      <w:szCs w:val="20"/>
      <w:lang w:eastAsia="lt-LT"/>
    </w:rPr>
  </w:style>
  <w:style w:type="paragraph" w:customStyle="1" w:styleId="DiagramaDiagramaCharChar">
    <w:name w:val="Diagrama Diagrama Char Char"/>
    <w:basedOn w:val="Normal"/>
    <w:rsid w:val="007724F3"/>
    <w:pPr>
      <w:spacing w:after="160" w:line="240" w:lineRule="exact"/>
    </w:pPr>
    <w:rPr>
      <w:rFonts w:ascii="Tahoma" w:hAnsi="Tahoma"/>
      <w:lang w:val="en-US" w:eastAsia="en-US"/>
    </w:rPr>
  </w:style>
  <w:style w:type="paragraph" w:customStyle="1" w:styleId="BodyText1">
    <w:name w:val="Body Text1"/>
    <w:link w:val="BodytextChar"/>
    <w:rsid w:val="007724F3"/>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basedOn w:val="DefaultParagraphFont"/>
    <w:link w:val="BodyText1"/>
    <w:rsid w:val="007724F3"/>
    <w:rPr>
      <w:rFonts w:ascii="TimesLT" w:eastAsia="Times New Roman" w:hAnsi="TimesLT" w:cs="Times New Roman"/>
      <w:sz w:val="20"/>
      <w:szCs w:val="20"/>
      <w:lang w:val="en-US"/>
    </w:rPr>
  </w:style>
  <w:style w:type="paragraph" w:styleId="NormalWeb">
    <w:name w:val="Normal (Web)"/>
    <w:basedOn w:val="Normal"/>
    <w:uiPriority w:val="99"/>
    <w:unhideWhenUsed/>
    <w:rsid w:val="007724F3"/>
    <w:pPr>
      <w:suppressAutoHyphens/>
      <w:spacing w:before="280" w:after="280"/>
    </w:pPr>
    <w:rPr>
      <w:sz w:val="24"/>
      <w:szCs w:val="24"/>
      <w:lang w:eastAsia="ar-SA"/>
    </w:rPr>
  </w:style>
  <w:style w:type="paragraph" w:styleId="Subtitle">
    <w:name w:val="Subtitle"/>
    <w:basedOn w:val="Normal"/>
    <w:link w:val="SubtitleChar"/>
    <w:qFormat/>
    <w:rsid w:val="007724F3"/>
    <w:rPr>
      <w:rFonts w:ascii="Arial" w:hAnsi="Arial"/>
      <w:sz w:val="24"/>
      <w:lang w:val="en-US" w:eastAsia="en-US"/>
    </w:rPr>
  </w:style>
  <w:style w:type="character" w:customStyle="1" w:styleId="SubtitleChar">
    <w:name w:val="Subtitle Char"/>
    <w:basedOn w:val="DefaultParagraphFont"/>
    <w:link w:val="Subtitle"/>
    <w:rsid w:val="007724F3"/>
    <w:rPr>
      <w:rFonts w:ascii="Arial" w:eastAsia="Times New Roman" w:hAnsi="Arial" w:cs="Times New Roman"/>
      <w:sz w:val="24"/>
      <w:szCs w:val="20"/>
      <w:lang w:val="en-US"/>
    </w:rPr>
  </w:style>
  <w:style w:type="paragraph" w:customStyle="1" w:styleId="Punktai">
    <w:name w:val="Punktai"/>
    <w:basedOn w:val="Normal"/>
    <w:rsid w:val="007724F3"/>
    <w:pPr>
      <w:numPr>
        <w:ilvl w:val="1"/>
        <w:numId w:val="2"/>
      </w:numPr>
    </w:pPr>
    <w:rPr>
      <w:sz w:val="24"/>
      <w:lang w:val="en-AU" w:eastAsia="en-US"/>
    </w:rPr>
  </w:style>
  <w:style w:type="paragraph" w:customStyle="1" w:styleId="NumPar1">
    <w:name w:val="NumPar 1"/>
    <w:basedOn w:val="Normal"/>
    <w:next w:val="Normal"/>
    <w:rsid w:val="007724F3"/>
    <w:pPr>
      <w:tabs>
        <w:tab w:val="num" w:pos="360"/>
      </w:tabs>
      <w:spacing w:before="120" w:after="120"/>
      <w:jc w:val="both"/>
    </w:pPr>
    <w:rPr>
      <w:sz w:val="24"/>
      <w:lang w:eastAsia="en-US"/>
    </w:rPr>
  </w:style>
  <w:style w:type="paragraph" w:styleId="NoSpacing">
    <w:name w:val="No Spacing"/>
    <w:link w:val="NoSpacingChar"/>
    <w:uiPriority w:val="1"/>
    <w:qFormat/>
    <w:rsid w:val="0006577F"/>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NoSpacingChar">
    <w:name w:val="No Spacing Char"/>
    <w:link w:val="NoSpacing"/>
    <w:uiPriority w:val="1"/>
    <w:locked/>
    <w:rsid w:val="0006577F"/>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2745C1"/>
    <w:pPr>
      <w:spacing w:after="120"/>
      <w:ind w:left="283"/>
    </w:pPr>
    <w:rPr>
      <w:sz w:val="24"/>
      <w:szCs w:val="24"/>
      <w:lang w:val="en-GB" w:eastAsia="en-US"/>
    </w:rPr>
  </w:style>
  <w:style w:type="character" w:customStyle="1" w:styleId="BodyTextIndentChar">
    <w:name w:val="Body Text Indent Char"/>
    <w:basedOn w:val="DefaultParagraphFont"/>
    <w:link w:val="BodyTextIndent"/>
    <w:rsid w:val="002745C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D7719"/>
    <w:pPr>
      <w:tabs>
        <w:tab w:val="center" w:pos="4819"/>
        <w:tab w:val="right" w:pos="9638"/>
      </w:tabs>
    </w:pPr>
  </w:style>
  <w:style w:type="character" w:customStyle="1" w:styleId="HeaderChar">
    <w:name w:val="Header Char"/>
    <w:basedOn w:val="DefaultParagraphFont"/>
    <w:link w:val="Header"/>
    <w:uiPriority w:val="99"/>
    <w:rsid w:val="009D7719"/>
    <w:rPr>
      <w:rFonts w:ascii="Times New Roman" w:eastAsia="Times New Roman" w:hAnsi="Times New Roman" w:cs="Times New Roman"/>
      <w:sz w:val="20"/>
      <w:szCs w:val="20"/>
      <w:lang w:eastAsia="lt-LT"/>
    </w:rPr>
  </w:style>
  <w:style w:type="paragraph" w:styleId="Footer">
    <w:name w:val="footer"/>
    <w:basedOn w:val="Normal"/>
    <w:link w:val="FooterChar"/>
    <w:uiPriority w:val="99"/>
    <w:unhideWhenUsed/>
    <w:rsid w:val="009D7719"/>
    <w:pPr>
      <w:tabs>
        <w:tab w:val="center" w:pos="4819"/>
        <w:tab w:val="right" w:pos="9638"/>
      </w:tabs>
    </w:pPr>
  </w:style>
  <w:style w:type="character" w:customStyle="1" w:styleId="FooterChar">
    <w:name w:val="Footer Char"/>
    <w:basedOn w:val="DefaultParagraphFont"/>
    <w:link w:val="Footer"/>
    <w:uiPriority w:val="99"/>
    <w:rsid w:val="009D7719"/>
    <w:rPr>
      <w:rFonts w:ascii="Times New Roman" w:eastAsia="Times New Roman" w:hAnsi="Times New Roman" w:cs="Times New Roman"/>
      <w:sz w:val="20"/>
      <w:szCs w:val="20"/>
      <w:lang w:eastAsia="lt-LT"/>
    </w:rPr>
  </w:style>
  <w:style w:type="character" w:customStyle="1" w:styleId="Heading1Char">
    <w:name w:val="Heading 1 Char"/>
    <w:basedOn w:val="DefaultParagraphFont"/>
    <w:link w:val="Heading1"/>
    <w:uiPriority w:val="9"/>
    <w:rsid w:val="009F73C6"/>
    <w:rPr>
      <w:rFonts w:asciiTheme="majorHAnsi" w:eastAsiaTheme="majorEastAsia" w:hAnsiTheme="majorHAnsi" w:cstheme="majorBidi"/>
      <w:color w:val="365F91" w:themeColor="accent1" w:themeShade="BF"/>
      <w:sz w:val="32"/>
      <w:szCs w:val="32"/>
      <w:lang w:eastAsia="lt-LT"/>
    </w:rPr>
  </w:style>
  <w:style w:type="character" w:styleId="Hyperlink">
    <w:name w:val="Hyperlink"/>
    <w:rsid w:val="00C17B5E"/>
    <w:rPr>
      <w:color w:val="0000FF"/>
      <w:u w:val="single"/>
    </w:rPr>
  </w:style>
  <w:style w:type="paragraph" w:customStyle="1" w:styleId="Patvirtinta">
    <w:name w:val="Patvirtinta"/>
    <w:rsid w:val="00C17B5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2">
    <w:name w:val="Body Text2"/>
    <w:uiPriority w:val="99"/>
    <w:rsid w:val="00C17B5E"/>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tenosligonine.lt" TargetMode="External"/><Relationship Id="rId3" Type="http://schemas.openxmlformats.org/officeDocument/2006/relationships/settings" Target="settings.xml"/><Relationship Id="rId7" Type="http://schemas.openxmlformats.org/officeDocument/2006/relationships/hyperlink" Target="mailto:info@utenosligonin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8294</Words>
  <Characters>4729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Jolanta Kaselytė</cp:lastModifiedBy>
  <cp:revision>17</cp:revision>
  <dcterms:created xsi:type="dcterms:W3CDTF">2019-06-05T12:53:00Z</dcterms:created>
  <dcterms:modified xsi:type="dcterms:W3CDTF">2021-04-16T10:11:00Z</dcterms:modified>
</cp:coreProperties>
</file>